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 title="Okładka podręcznika 08: Kreatywność w działaniu: planowanie kampanii społecznych" descr="Pełnostronicowa okładka podręcznika 08: Kreatywność w działaniu: planowanie kampanii społecznych. Podtytuł: Od diagnozy problemu do mierzalnej zmiany - kompletny przewodnik. Ten podręcznik składa cały proces kampanii społecznej: diagnozę, strategię, role, harmonogram, budżet i ewaluację. Na dole znajduje się informacja o dofinansowaniu przez Unię Europejską w ramach Erasmus+ Młodzież - Działania partycypacyjne młodzieży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-final-08-kreatywnosc-w-dzialaniu-planowanie-kampanii-spolecznych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9"/>
          <w:footerReference w:type="default" r:id="rId10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/>
      </w:pPr>
      <w:r>
        <w:rPr>
          <w:rFonts w:ascii="Arial" w:hAnsi="Arial" w:eastAsia="Arial"/>
          <w:b/>
          <w:color w:val="056B72"/>
          <w:sz w:val="20"/>
        </w:rPr>
        <w:t>Podręcznik 08</w:t>
      </w:r>
    </w:p>
    <w:p>
      <w:pPr>
        <w:pStyle w:val="Heading1"/>
        <w:spacing w:before="0"/>
      </w:pPr>
      <w:r>
        <w:t>Kreatywność w działaniu: planowanie kampanii społecznych</w:t>
      </w:r>
    </w:p>
    <w:p>
      <w:pPr>
        <w:spacing w:before="0" w:after="120" w:line="283" w:lineRule="auto"/>
      </w:pPr>
      <w:r>
        <w:t>Od diagnozy problemu do mierzalnej zmiany - kompletny przewodnik</w:t>
      </w:r>
    </w:p>
    <w:p>
      <w:pPr>
        <w:spacing w:before="0" w:after="200" w:line="283" w:lineRule="auto"/>
      </w:pPr>
      <w:r>
        <w:t>Ten podręcznik składa cały proces kampanii społecznej: diagnozę, strategię, role, harmonogram, budżet i ewaluację.</w:t>
      </w:r>
    </w:p>
    <w:p>
      <w:pPr>
        <w:spacing w:before="0" w:after="0" w:line="283" w:lineRule="auto"/>
      </w:pPr>
      <w:r>
        <w:rPr>
          <w:rFonts w:ascii="Arial" w:hAnsi="Arial" w:eastAsia="Arial"/>
          <w:color w:val="5D6B7F"/>
          <w:sz w:val="18"/>
        </w:rPr>
        <w:t>Ta strona jest tekstowym odpowiednikiem okładki: zawiera najważniejsze informacje, które na pierwszej stronie są przedstawione graficznie.</w:t>
      </w:r>
    </w:p>
    <w:p>
      <w:r>
        <w:br w:type="page"/>
      </w:r>
    </w:p>
    <w:p>
      <w:pPr>
        <w:spacing w:before="0" w:after="60"/>
        <w:pBdr>
          <w:bottom w:val="single" w:sz="5" w:space="3" w:color="D8E1E8"/>
        </w:pBdr>
      </w:pPr>
      <w:r>
        <w:rPr>
          <w:rFonts w:ascii="Arial" w:hAnsi="Arial" w:eastAsia="Arial"/>
          <w:b/>
          <w:color w:val="5D6B7F"/>
          <w:sz w:val="19"/>
        </w:rPr>
        <w:t>Podręcznik 08 | Kreatywność w działaniu: planowanie kampanii społecznych</w:t>
      </w:r>
    </w:p>
    <w:p>
      <w:pPr>
        <w:spacing w:before="200" w:after="40"/>
      </w:pPr>
      <w:r>
        <w:rPr>
          <w:rFonts w:ascii="Arial" w:hAnsi="Arial" w:eastAsia="Arial"/>
          <w:b/>
          <w:color w:val="05295F"/>
          <w:sz w:val="50"/>
        </w:rPr>
        <w:t>Spis treści</w:t>
      </w:r>
    </w:p>
    <w:p>
      <w:pPr>
        <w:spacing w:before="0" w:after="160"/>
      </w:pPr>
      <w:r>
        <w:rPr>
          <w:rFonts w:ascii="Arial" w:hAnsi="Arial" w:eastAsia="Arial"/>
          <w:b/>
          <w:color w:val="056B72"/>
          <w:sz w:val="22"/>
        </w:rPr>
        <w:t>Mapa podręcznika</w:t>
      </w:r>
    </w:p>
    <w:p>
      <w:pPr>
        <w:spacing w:before="0" w:after="200" w:line="276" w:lineRule="auto"/>
      </w:pPr>
      <w:r>
        <w:t>Poniższa mapa pokazuje układ materiału: od krótkiego wejścia w temat, przez część główną, aż po ćwiczenia i plan działania.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START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Jak korzystać z tego podręcznika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Cele uczenia się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Słowniczek roboczy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CZĘŚĆ GŁÓWNA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Wstęp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1. Kampania społeczna — czym jest, czym nie jest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2. Siedem kroków kampanii społecznej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Krok 1: DIAGNOZA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Krok 2: CEL (SMART)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Krok 3: ODBIORCY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Krok 4: NARRACJA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Krok 5: DZIAŁANIA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Krok 6: HARMONOGRAM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Krok 7: MIERZENIE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3. Role w zespole kampanijnym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4. Budżet — większość kampanii kosztuje zero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5. Case study — od diagnozy do zmiany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6. Testowanie komunikatu — zanim opublikujesz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7. Kiedy kampania nie działa — plan B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8. Od kampanii do ruchu — skalowanie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Słowniczek pojęć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Przydatne zasoby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WARSZTAT I WDROŻENIE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Część ćwiczeniowa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Scenariusz pracy 90 minut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Ćwiczenie prowadzone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Projekt końcowy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Rubryka oceny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Plan wdrożenia po zajęciach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Checklista przed oddaniem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Pytania do rozmowy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Miejsce na notatki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Zakończenie</w:t>
      </w:r>
    </w:p>
    <w:p>
      <w:pPr>
        <w:spacing w:before="160" w:after="0"/>
        <w:shd w:fill="E7F6F6"/>
      </w:pPr>
      <w:r>
        <w:rPr>
          <w:rFonts w:ascii="Arial" w:hAnsi="Arial" w:eastAsia="Arial"/>
          <w:b/>
          <w:color w:val="056B72"/>
          <w:sz w:val="18"/>
        </w:rPr>
        <w:t xml:space="preserve">Wskazówka: </w:t>
      </w:r>
      <w:r>
        <w:rPr>
          <w:rFonts w:ascii="Arial" w:hAnsi="Arial" w:eastAsia="Arial"/>
          <w:color w:val="10233E"/>
          <w:sz w:val="18"/>
        </w:rPr>
        <w:t>w wersji cyfrowej korzystaj także z panelu nawigacji po nagłówkach w edytorze tekstu.</w:t>
      </w:r>
    </w:p>
    <w:p>
      <w:r>
        <w:br w:type="page"/>
      </w:r>
    </w:p>
    <w:p>
      <w:pPr>
        <w:pStyle w:val="Heading1"/>
        <w:spacing w:before="0"/>
      </w:pPr>
      <w:r>
        <w:t>Jak korzystać z tego podręcznika</w:t>
      </w:r>
    </w:p>
    <w:p>
      <w:pPr>
        <w:spacing w:before="0" w:after="160" w:line="288" w:lineRule="auto"/>
      </w:pPr>
      <w:r>
        <w:t>Ten podręcznik składa cały proces kampanii społecznej: diagnozę, strategię, role, harmonogram, budżet i ewaluację.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Proponowany rytm pracy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Najlepiej czytać ten materiał aktywnie: najpierw zrozum pojęcia, potem przećwicz narzędzie na przykładzie, a na końcu zaplanuj własne działanie.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Czytaj z ołówkiem: podkreślaj decyzje, narzędzia i przykłady.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Po każdej większej części zatrzymaj się przy pytaniu kontrolnym.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Nie kończ na wiedzy: wykonaj kartę pracy i mini-projekt.</w:t>
      </w:r>
    </w:p>
    <w:p/>
    <w:p>
      <w:pPr>
        <w:pStyle w:val="Heading2"/>
      </w:pPr>
      <w:r>
        <w:t>Cele uczenia się</w:t>
      </w:r>
    </w:p>
    <w:p>
      <w:pPr>
        <w:pStyle w:val="ListBullet"/>
      </w:pPr>
      <w:r>
        <w:rPr>
          <w:rFonts w:ascii="Arial" w:hAnsi="Arial" w:eastAsia="Arial"/>
          <w:b w:val="0"/>
        </w:rPr>
        <w:t>odróżniać kampanię społeczną od jednorazowej akcji</w:t>
      </w:r>
    </w:p>
    <w:p>
      <w:pPr>
        <w:pStyle w:val="ListBullet"/>
      </w:pPr>
      <w:r>
        <w:rPr>
          <w:rFonts w:ascii="Arial" w:hAnsi="Arial" w:eastAsia="Arial"/>
          <w:b w:val="0"/>
        </w:rPr>
        <w:t>diagnozować problem za pomocą danych i rozmów</w:t>
      </w:r>
    </w:p>
    <w:p>
      <w:pPr>
        <w:pStyle w:val="ListBullet"/>
      </w:pPr>
      <w:r>
        <w:rPr>
          <w:rFonts w:ascii="Arial" w:hAnsi="Arial" w:eastAsia="Arial"/>
          <w:b w:val="0"/>
        </w:rPr>
        <w:t>planować odbiorców, narrację, role i harmonogram</w:t>
      </w:r>
    </w:p>
    <w:p>
      <w:pPr>
        <w:pStyle w:val="ListBullet"/>
      </w:pPr>
      <w:r>
        <w:rPr>
          <w:rFonts w:ascii="Arial" w:hAnsi="Arial" w:eastAsia="Arial"/>
          <w:b w:val="0"/>
        </w:rPr>
        <w:t>projektować materiały, które prowadzą do konkretnego działania</w:t>
      </w:r>
    </w:p>
    <w:p>
      <w:pPr>
        <w:pStyle w:val="ListBullet"/>
      </w:pPr>
      <w:r>
        <w:rPr>
          <w:rFonts w:ascii="Arial" w:hAnsi="Arial" w:eastAsia="Arial"/>
          <w:b w:val="0"/>
        </w:rPr>
        <w:t>ewaluować kampanię i wyciągać wnioski na przyszłość</w:t>
      </w:r>
    </w:p>
    <w:p>
      <w:pPr>
        <w:pStyle w:val="Heading2"/>
      </w:pPr>
      <w:r>
        <w:t>Słowniczek roboczy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4961"/>
        <w:gridCol w:w="4961"/>
      </w:tblGrid>
      <w:tr>
        <w:trPr>
          <w:tblHeader/>
        </w:trPr>
        <w:tc>
          <w:tcPr>
            <w:tcW w:type="dxa" w:w="255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Pojęcie</w:t>
            </w:r>
          </w:p>
        </w:tc>
        <w:tc>
          <w:tcPr>
            <w:tcW w:type="dxa" w:w="731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Jak rozumieć je w praktyce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Diagnoza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rozpoznanie problemu na podstawie danych, obserwacji i rozmów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Cel SMART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mierzalny opis zmiany, terminu i grupy odbiorców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Narracja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historia, która pomaga odbiorcy zrozumieć problem i własną rolę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Harmonogram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plan działań w czasie wraz z odpowiedzialnością zespołu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Ewaluacja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sprawdzenie efektów i wniosków po kampanii</w:t>
            </w:r>
          </w:p>
        </w:tc>
      </w:tr>
    </w:tbl>
    <w:p>
      <w:pPr>
        <w:pStyle w:val="Heading1"/>
      </w:pPr>
      <w:r>
        <w:t>Wstęp</w:t>
      </w:r>
    </w:p>
    <w:p>
      <w:r>
        <w:rPr>
          <w:rFonts w:ascii="Arial" w:hAnsi="Arial" w:eastAsia="Arial"/>
          <w:b w:val="0"/>
        </w:rPr>
        <w:t>Kampania społeczna to jedno z najpotężniejszych narzędzi zmiany, jakim dysponują obywatele — w tym młodzi ludzie, bez budżetu, bez formalnej organizacji, z telefonem w ręku i pomysłem w głowie. „Piłeś? Nie jedź!", akcje antysmogowe Rybnickiego Alarmu Smogowego, szkolne kampanie segregacyjne — wszystkie zaczęły się od tego samego pytania: „Co jest problemem?" i tej samej decyzji: „Zróbmy coś z tym."</w:t>
      </w:r>
    </w:p>
    <w:p>
      <w:r>
        <w:rPr>
          <w:rFonts w:ascii="Arial" w:hAnsi="Arial" w:eastAsia="Arial"/>
          <w:b w:val="0"/>
        </w:rPr>
        <w:t>Ten podręcznik prowadzi przez pełny cykl planowania kampanii społecznej: od diagnozy problemu, przez projektowanie strategii, po mierzenie efektów. To nie jest teoria — to instrukcja, którą możesz zastosować do dowolnego problemu w swoim otoczeniu.</w:t>
      </w:r>
    </w:p>
    <w:p>
      <w:pPr>
        <w:pStyle w:val="Heading1"/>
      </w:pPr>
      <w:r>
        <w:t>1. Kampania społeczna — czym jest, czym nie jest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„1. Kampania społeczna — czym jest, czym nie jest”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Kampania społeczna to zaplanowane, systematyczne działanie, którego celem jest zmiana zachowania określonej grupy ludzi w określonym czasie. Ta definicja jest precyzyjna nieprzypadkowo — każde słowo ma znaczenie.</w:t>
      </w:r>
    </w:p>
    <w:p>
      <w:r>
        <w:rPr>
          <w:rFonts w:ascii="Arial" w:hAnsi="Arial" w:eastAsia="Arial"/>
          <w:b/>
        </w:rPr>
        <w:t>Zaplanowane</w:t>
      </w:r>
      <w:r>
        <w:rPr>
          <w:rFonts w:ascii="Arial" w:hAnsi="Arial" w:eastAsia="Arial"/>
          <w:b w:val="0"/>
        </w:rPr>
        <w:t xml:space="preserve"> — nie spontaniczne, nie przypadkowe. Kampania ma strategię, harmonogram, podział ról.</w:t>
      </w:r>
    </w:p>
    <w:p>
      <w:r>
        <w:rPr>
          <w:rFonts w:ascii="Arial" w:hAnsi="Arial" w:eastAsia="Arial"/>
          <w:b/>
        </w:rPr>
        <w:t>Systematyczne</w:t>
      </w:r>
      <w:r>
        <w:rPr>
          <w:rFonts w:ascii="Arial" w:hAnsi="Arial" w:eastAsia="Arial"/>
          <w:b w:val="0"/>
        </w:rPr>
        <w:t xml:space="preserve"> — nie jednorazowe. Jeden post to nie kampania. Kampania to seria działań rozłożonych w czasie.</w:t>
      </w:r>
    </w:p>
    <w:p>
      <w:r>
        <w:rPr>
          <w:rFonts w:ascii="Arial" w:hAnsi="Arial" w:eastAsia="Arial"/>
          <w:b/>
        </w:rPr>
        <w:t>Zmiana zachowania</w:t>
      </w:r>
      <w:r>
        <w:rPr>
          <w:rFonts w:ascii="Arial" w:hAnsi="Arial" w:eastAsia="Arial"/>
          <w:b w:val="0"/>
        </w:rPr>
        <w:t xml:space="preserve"> — nie zmiana opinii, nie budowanie świadomości. Celem kampanii jest to, żeby ludzie ZROBILI coś inaczej: segregowali śmieci, zgłaszali kopciuchy, nie prowadzili po alkoholu, nie hejtowali w internecie.</w:t>
      </w:r>
    </w:p>
    <w:p>
      <w:r>
        <w:rPr>
          <w:rFonts w:ascii="Arial" w:hAnsi="Arial" w:eastAsia="Arial"/>
          <w:b/>
        </w:rPr>
        <w:t>Określonej grupy</w:t>
      </w:r>
      <w:r>
        <w:rPr>
          <w:rFonts w:ascii="Arial" w:hAnsi="Arial" w:eastAsia="Arial"/>
          <w:b w:val="0"/>
        </w:rPr>
        <w:t xml:space="preserve"> — nie „wszystkich". Kampania ma konkretnego odbiorcę.</w:t>
      </w:r>
    </w:p>
    <w:p>
      <w:r>
        <w:rPr>
          <w:rFonts w:ascii="Arial" w:hAnsi="Arial" w:eastAsia="Arial"/>
          <w:b/>
        </w:rPr>
        <w:t>W określonym czasie</w:t>
      </w:r>
      <w:r>
        <w:rPr>
          <w:rFonts w:ascii="Arial" w:hAnsi="Arial" w:eastAsia="Arial"/>
          <w:b w:val="0"/>
        </w:rPr>
        <w:t xml:space="preserve"> — nie „kiedyś". Kampania ma początek, koniec i termin rozliczenia.</w:t>
      </w:r>
    </w:p>
    <w:p>
      <w:r>
        <w:rPr>
          <w:rFonts w:ascii="Arial" w:hAnsi="Arial" w:eastAsia="Arial"/>
          <w:b/>
        </w:rPr>
        <w:t>Co NIE jest kampanią społeczną:</w:t>
      </w:r>
    </w:p>
    <w:p>
      <w:r>
        <w:rPr>
          <w:rFonts w:ascii="Arial" w:hAnsi="Arial" w:eastAsia="Arial"/>
          <w:b w:val="0"/>
        </w:rPr>
        <w:t>Reklama — „Kup nasz napój" — sprzedaje produkt, nie zmienia zachowania. Akcja charytatywna — „Wpłać na leczenie" — zbiera środki, nie zmienia zachowania. Protest — „Nie chcemy tego!" — mówi NIE, ale nie daje alternatywy. Slacktivism — „Udostępnij, żeby ratować" — daje poczucie działania bez faktycznego działania.</w:t>
      </w:r>
    </w:p>
    <w:p>
      <w:r>
        <w:rPr>
          <w:rFonts w:ascii="Arial" w:hAnsi="Arial" w:eastAsia="Arial"/>
          <w:b w:val="0"/>
        </w:rPr>
        <w:t>Kampania społeczna mówi: „ZRÓB INACZEJ — oto dlaczego i oto jak."</w:t>
      </w:r>
    </w:p>
    <w:p>
      <w:pPr>
        <w:pStyle w:val="Heading1"/>
      </w:pPr>
      <w:r>
        <w:t>2. Siedem kroków kampanii społecznej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„2. Siedem kroków kampanii społecznej”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pPr>
        <w:pStyle w:val="Heading2"/>
      </w:pPr>
      <w:r>
        <w:t>Krok 1: DIAGNOZA</w:t>
      </w:r>
    </w:p>
    <w:p>
      <w:r>
        <w:rPr>
          <w:rFonts w:ascii="Arial" w:hAnsi="Arial" w:eastAsia="Arial"/>
          <w:b w:val="0"/>
        </w:rPr>
        <w:t>Diagnoza to fundament. Bez niej kampania opiera się na przeczuciu, nie na dowodach — a przeczucia mogą być mylne.</w:t>
      </w:r>
    </w:p>
    <w:p>
      <w:r>
        <w:rPr>
          <w:rFonts w:ascii="Arial" w:hAnsi="Arial" w:eastAsia="Arial"/>
          <w:b/>
        </w:rPr>
        <w:t>Metody diagnozy dostępne bez budżetu:</w:t>
      </w:r>
    </w:p>
    <w:p>
      <w:r>
        <w:rPr>
          <w:rFonts w:ascii="Arial" w:hAnsi="Arial" w:eastAsia="Arial"/>
          <w:b w:val="0"/>
        </w:rPr>
        <w:t>Ankieta — Google Forms, 5–10 pytań, rozpowszechniona w mediach społecznościowych lub bezpośrednio wśród grupy docelowej. 50 odpowiedzi to już użyteczna próba. Ankieta daje DANE — liczby, procenty, trendy — które stanowią fundament argumentacji.</w:t>
      </w:r>
    </w:p>
    <w:p>
      <w:r>
        <w:rPr>
          <w:rFonts w:ascii="Arial" w:hAnsi="Arial" w:eastAsia="Arial"/>
          <w:b w:val="0"/>
        </w:rPr>
        <w:t>Obserwacja — policz. Ile osób segreguje w stołówce? Ile kopciuchów dymi na twojej ulicy? Ile samochodów przejeżdża przez niebezpieczne skrzyżowanie w godzinie szczytu? Obserwacja to najprostsza forma zbierania danych — ale wymaga systematyczności (jeden pomiar to nie dane, seria pomiarów to dane).</w:t>
      </w:r>
    </w:p>
    <w:p>
      <w:r>
        <w:rPr>
          <w:rFonts w:ascii="Arial" w:hAnsi="Arial" w:eastAsia="Arial"/>
          <w:b w:val="0"/>
        </w:rPr>
        <w:t>Dane publiczne — strony urzędów, BIP, GUS, policja, straż pożarna. Ile wypadków na tym skrzyżowaniu? Jaka jakość powietrza w twojej dzielnicy? Ile odpadów trafia na wysypisko? Dane publiczne są bezpłatne i często wystarczają do uzasadnienia kampanii.</w:t>
      </w:r>
    </w:p>
    <w:p>
      <w:r>
        <w:rPr>
          <w:rFonts w:ascii="Arial" w:hAnsi="Arial" w:eastAsia="Arial"/>
          <w:b w:val="0"/>
        </w:rPr>
        <w:t>Rozmowa z ekspertem — nauczyciel, radny, pracownik urzędu, pracownik NGO. Ekspert zna kontekst, którego nie widać w danych — i może wskazać, jakie rozwiązania już próbowano.</w:t>
      </w:r>
    </w:p>
    <w:p>
      <w:pPr>
        <w:pStyle w:val="Heading2"/>
      </w:pPr>
      <w:r>
        <w:t>Krok 2: CEL (SMART)</w:t>
      </w:r>
    </w:p>
    <w:p>
      <w:r>
        <w:rPr>
          <w:rFonts w:ascii="Arial" w:hAnsi="Arial" w:eastAsia="Arial"/>
          <w:b w:val="0"/>
        </w:rPr>
        <w:t>Cel to jedno zdanie, które odpowiada na pytanie: „Co KONKRETNIE chcemy zmienić, u KOGO i do KIEDY?"</w:t>
      </w:r>
    </w:p>
    <w:p>
      <w:r>
        <w:rPr>
          <w:rFonts w:ascii="Arial" w:hAnsi="Arial" w:eastAsia="Arial"/>
          <w:b w:val="0"/>
        </w:rPr>
        <w:t>Format: „Do [data] chcemy [co zmienić] wśród [kogo] o [ile]."</w:t>
      </w:r>
    </w:p>
    <w:p>
      <w:r>
        <w:rPr>
          <w:rFonts w:ascii="Arial" w:hAnsi="Arial" w:eastAsia="Arial"/>
          <w:b w:val="0"/>
        </w:rPr>
        <w:t>Przykłady dobrych celów: „Do końca semestru zmniejszyć liczbę jednorazowych kubków w szkolnym bufecie o 80%." „W ciągu miesiąca zwiększyć poprawną segregację w blokach przy ul. Powstańców z 10% do 50%." „Do grudnia zebrać 200 podpisów pod petycją o oświetlenie ul. Sportowej."</w:t>
      </w:r>
    </w:p>
    <w:p>
      <w:r>
        <w:rPr>
          <w:rFonts w:ascii="Arial" w:hAnsi="Arial" w:eastAsia="Arial"/>
          <w:b w:val="0"/>
        </w:rPr>
        <w:t>Przykłady złych celów: „Chcemy, żeby było czysto." (Niemierzalne, nieterminowe.) „Zmienić świadomość." (Jak to zmierzysz?) „Ratować planetę." (Za szerokie, nieosiągalne w ramach jednej kampanii.)</w:t>
      </w:r>
    </w:p>
    <w:p>
      <w:pPr>
        <w:pStyle w:val="Heading2"/>
      </w:pPr>
      <w:r>
        <w:t>Krok 3: ODBIORCY</w:t>
      </w:r>
    </w:p>
    <w:p>
      <w:r>
        <w:rPr>
          <w:rFonts w:ascii="Arial" w:hAnsi="Arial" w:eastAsia="Arial"/>
          <w:b w:val="0"/>
        </w:rPr>
        <w:t>Kim jest osoba, która ma zmienić zachowanie? Im lepiej ją znasz, tym skuteczniejszy komunikat stworzysz.</w:t>
      </w:r>
    </w:p>
    <w:p>
      <w:r>
        <w:rPr>
          <w:rFonts w:ascii="Arial" w:hAnsi="Arial" w:eastAsia="Arial"/>
          <w:b/>
        </w:rPr>
        <w:t>Persona</w:t>
      </w:r>
      <w:r>
        <w:rPr>
          <w:rFonts w:ascii="Arial" w:hAnsi="Arial" w:eastAsia="Arial"/>
          <w:b w:val="0"/>
        </w:rPr>
        <w:t xml:space="preserve"> — szczegółowy opis typowego odbiorcy: wiek, miejsce zamieszkania, co robi online, co go motywuje, co go blokuje. „Jan, 52 lata, Boguszowice, dom jednorodzinny, pali w kotle węglowym, wie że smog jest zły, ale nie ma pieniędzy na wymianę pieca, aktywny na Facebooku w grupie dzielnicowej, ufa sąsiadom i lokalnemu proboszczowi" — to persona, z którą da się pracować.</w:t>
      </w:r>
    </w:p>
    <w:p>
      <w:r>
        <w:rPr>
          <w:rFonts w:ascii="Arial" w:hAnsi="Arial" w:eastAsia="Arial"/>
          <w:b/>
        </w:rPr>
        <w:t>Co motywuje odbiorcę?</w:t>
      </w:r>
      <w:r>
        <w:rPr>
          <w:rFonts w:ascii="Arial" w:hAnsi="Arial" w:eastAsia="Arial"/>
          <w:b w:val="0"/>
        </w:rPr>
        <w:t xml:space="preserve"> Zdrowie dzieci? Oszczędność pieniędzy? Presja społeczna? Wygoda? Każda motywacja wymaga innego komunikatu. „Twoje dziecko oddycha tym dymem" (zdrowie) vs „Wymiana pieca to 90% dotacji — prawie za darmo" (pieniądze) vs „Twój sąsiad już wymienił" (presja społeczna).</w:t>
      </w:r>
    </w:p>
    <w:p>
      <w:r>
        <w:rPr>
          <w:rFonts w:ascii="Arial" w:hAnsi="Arial" w:eastAsia="Arial"/>
          <w:b/>
        </w:rPr>
        <w:t>Co blokuje odbiorcę?</w:t>
      </w:r>
      <w:r>
        <w:rPr>
          <w:rFonts w:ascii="Arial" w:hAnsi="Arial" w:eastAsia="Arial"/>
          <w:b w:val="0"/>
        </w:rPr>
        <w:t xml:space="preserve"> Brak pieniędzy? Brak wiedzy? Przyzwyczajenie? Strach przed zmianą? Kampania musi odpowiedzieć na BLOKADY, nie tylko na motywacje.</w:t>
      </w:r>
    </w:p>
    <w:p>
      <w:pPr>
        <w:pStyle w:val="Heading2"/>
      </w:pPr>
      <w:r>
        <w:t>Krok 4: NARRACJA</w:t>
      </w:r>
    </w:p>
    <w:p>
      <w:r>
        <w:rPr>
          <w:rFonts w:ascii="Arial" w:hAnsi="Arial" w:eastAsia="Arial"/>
          <w:b w:val="0"/>
        </w:rPr>
        <w:t>Każda kampania potrzebuje historii. Mózg ludzki zapamiętuje narracje, nie dane. Statystyka „5400 kopciuchów" jest imponująca — ale historia „Pan Kowalski z Boguszowic wymienił piec i oszczędza 200 zł miesięcznie" zostaje w głowie na dłużej.</w:t>
      </w:r>
    </w:p>
    <w:p>
      <w:r>
        <w:rPr>
          <w:rFonts w:ascii="Arial" w:hAnsi="Arial" w:eastAsia="Arial"/>
          <w:b/>
        </w:rPr>
        <w:t>Trzy schematy narracyjne:</w:t>
      </w:r>
    </w:p>
    <w:p>
      <w:r>
        <w:rPr>
          <w:rFonts w:ascii="Arial" w:hAnsi="Arial" w:eastAsia="Arial"/>
          <w:b w:val="0"/>
        </w:rPr>
        <w:t>Bohater — „Kasia z Rybnika zmieniła jedno zachowanie. Oto co się stało." Schemat bohatera angażuje emocjonalnie, daje model do naśladowania i pokazuje, że zmiana jest możliwa.</w:t>
      </w:r>
    </w:p>
    <w:p>
      <w:r>
        <w:rPr>
          <w:rFonts w:ascii="Arial" w:hAnsi="Arial" w:eastAsia="Arial"/>
          <w:b w:val="0"/>
        </w:rPr>
        <w:t>Problem–Rozwiązanie — „Twoja dzielnica ma problem X. Oto co możesz zrobić." Schemat bezpośredni, informacyjny, z jasnym CTA.</w:t>
      </w:r>
    </w:p>
    <w:p>
      <w:r>
        <w:rPr>
          <w:rFonts w:ascii="Arial" w:hAnsi="Arial" w:eastAsia="Arial"/>
          <w:b w:val="0"/>
        </w:rPr>
        <w:t>Kontrast — „Tak było. Tak jest. Tak może być." Zdjęcie zaśmieconego parku vs zdjęcie po sprzątaniu. Dane o smogu przed uchwałą vs po uchwale. Kontrast wizualny jest jednym z najpotężniejszych narzędzi komunikacji.</w:t>
      </w:r>
    </w:p>
    <w:p>
      <w:pPr>
        <w:pStyle w:val="Heading2"/>
      </w:pPr>
      <w:r>
        <w:t>Krok 5: DZIAŁANIA</w:t>
      </w:r>
    </w:p>
    <w:p>
      <w:r>
        <w:rPr>
          <w:rFonts w:ascii="Arial" w:hAnsi="Arial" w:eastAsia="Arial"/>
          <w:b w:val="0"/>
        </w:rPr>
        <w:t>Działania to lista KONKRETNYCH AKCJI, które realizujesz w ramach kampanii. Każde działanie musi mieć: CO (konkretna akcja), KTO (kto z zespołu odpowiada), KIEDY (data), ILE KOSZTUJE (budżet, nawet jeśli to 0 zł).</w:t>
      </w:r>
    </w:p>
    <w:p>
      <w:r>
        <w:rPr>
          <w:rFonts w:ascii="Arial" w:hAnsi="Arial" w:eastAsia="Arial"/>
          <w:b w:val="0"/>
        </w:rPr>
        <w:t>Przykłady działań: post na Instagramie z infografiką, plakat w szkole, spotkanie z radnym dzielnicowym, ankieta na Google Forms, flash mob na rynku, artykuł na portalu lokalnym, film na TikToku, petycja do rady miasta.</w:t>
      </w:r>
    </w:p>
    <w:p>
      <w:r>
        <w:rPr>
          <w:rFonts w:ascii="Arial" w:hAnsi="Arial" w:eastAsia="Arial"/>
          <w:b w:val="0"/>
        </w:rPr>
        <w:t>Kluczowa zasada: działania muszą prowadzić do CELU — nie być fajne same w sobie. Film na TikToku jest działaniem wtedy, gdy prowadzi do mierzalnej zmiany, a nie wtedy, gdy generuje lajki.</w:t>
      </w:r>
    </w:p>
    <w:p>
      <w:pPr>
        <w:pStyle w:val="Heading2"/>
      </w:pPr>
      <w:r>
        <w:t>Krok 6: HARMONOGRAM</w:t>
      </w:r>
    </w:p>
    <w:p>
      <w:r>
        <w:rPr>
          <w:rFonts w:ascii="Arial" w:hAnsi="Arial" w:eastAsia="Arial"/>
          <w:b w:val="0"/>
        </w:rPr>
        <w:t>Kampania bez harmonogramu to życzenie. Z harmonogramem — to plan.</w:t>
      </w:r>
    </w:p>
    <w:p>
      <w:r>
        <w:rPr>
          <w:rFonts w:ascii="Arial" w:hAnsi="Arial" w:eastAsia="Arial"/>
          <w:b w:val="0"/>
        </w:rPr>
        <w:t>Minimalny harmonogram (4 tygodnie): Tydzień 1 — diagnoza i zbieranie danych. Tydzień 2 — przygotowanie materiałów, testowanie komunikatu. Tydzień 3 — start kampanii, publikacja materiałów, działania online i offline. Tydzień 4 — mierzenie efektów, podsumowanie, publikacja wyników.</w:t>
      </w:r>
    </w:p>
    <w:p>
      <w:r>
        <w:rPr>
          <w:rFonts w:ascii="Arial" w:hAnsi="Arial" w:eastAsia="Arial"/>
          <w:b w:val="0"/>
        </w:rPr>
        <w:t>Dłuższe kampanie (3–6 miesięcy) dzielą się na fazy: pre-launch (budowanie bazy), launch (główne działania), sustain (utrzymanie tempa), measure (ewaluacja).</w:t>
      </w:r>
    </w:p>
    <w:p>
      <w:pPr>
        <w:pStyle w:val="Heading2"/>
      </w:pPr>
      <w:r>
        <w:t>Krok 7: MIERZENIE</w:t>
      </w:r>
    </w:p>
    <w:p>
      <w:r>
        <w:rPr>
          <w:rFonts w:ascii="Arial" w:hAnsi="Arial" w:eastAsia="Arial"/>
          <w:b w:val="0"/>
        </w:rPr>
        <w:t>Mierzenie zamyka cykl — i otwiera kolejny. Bez mierzenia nie wiesz, czy kampania zadziałała, co zadziałało i co poprawić następnym razem.</w:t>
      </w:r>
    </w:p>
    <w:p>
      <w:r>
        <w:rPr>
          <w:rFonts w:ascii="Arial" w:hAnsi="Arial" w:eastAsia="Arial"/>
          <w:b/>
        </w:rPr>
        <w:t>Co mierzyć:</w:t>
      </w:r>
    </w:p>
    <w:p>
      <w:r>
        <w:rPr>
          <w:rFonts w:ascii="Arial" w:hAnsi="Arial" w:eastAsia="Arial"/>
          <w:b w:val="0"/>
        </w:rPr>
        <w:t>Wskaźniki outputu (co zrobiliśmy): ile postów opublikowano, ile ulotek rozdano, ile spotkań odbyło się.</w:t>
      </w:r>
    </w:p>
    <w:p>
      <w:r>
        <w:rPr>
          <w:rFonts w:ascii="Arial" w:hAnsi="Arial" w:eastAsia="Arial"/>
          <w:b w:val="0"/>
        </w:rPr>
        <w:t>Wskaźniki outcome (jak zareagowali): ile osób kliknęło, podpisało, odpowiedziało na ankietę, przyszło na spotkanie.</w:t>
      </w:r>
    </w:p>
    <w:p>
      <w:r>
        <w:rPr>
          <w:rFonts w:ascii="Arial" w:hAnsi="Arial" w:eastAsia="Arial"/>
          <w:b w:val="0"/>
        </w:rPr>
        <w:t>Wskaźniki impact (co się zmieniło): zmiana zachowania mierzona metodą przed/po (audyt, ankieta powtórzona, dane urzędowe).</w:t>
      </w:r>
    </w:p>
    <w:p>
      <w:r>
        <w:rPr>
          <w:rFonts w:ascii="Arial" w:hAnsi="Arial" w:eastAsia="Arial"/>
          <w:b w:val="0"/>
        </w:rPr>
        <w:t>Raporty z mierzenia powinny być publiczne — transparentność buduje wiarygodność na przyszłe kampanie.</w:t>
      </w:r>
    </w:p>
    <w:p>
      <w:pPr>
        <w:pStyle w:val="Heading1"/>
      </w:pPr>
      <w:r>
        <w:t>3. Role w zespole kampanijnym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„3. Role w zespole kampanijnym”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Nawet mała kampania wymaga podziału odpowiedzialności. Pięć ról, które muszą być obsadzone (jedna osoba może pełnić kilka):</w:t>
      </w:r>
    </w:p>
    <w:p>
      <w:r>
        <w:rPr>
          <w:rFonts w:ascii="Arial" w:hAnsi="Arial" w:eastAsia="Arial"/>
          <w:b/>
        </w:rPr>
        <w:t>Lider</w:t>
      </w:r>
      <w:r>
        <w:rPr>
          <w:rFonts w:ascii="Arial" w:hAnsi="Arial" w:eastAsia="Arial"/>
          <w:b w:val="0"/>
        </w:rPr>
        <w:t xml:space="preserve"> — koordynuje, pilnuje harmonogramu, podejmuje decyzje w sytuacjach kryzysowych.</w:t>
      </w:r>
    </w:p>
    <w:p>
      <w:r>
        <w:rPr>
          <w:rFonts w:ascii="Arial" w:hAnsi="Arial" w:eastAsia="Arial"/>
          <w:b/>
        </w:rPr>
        <w:t>Kreacja</w:t>
      </w:r>
      <w:r>
        <w:rPr>
          <w:rFonts w:ascii="Arial" w:hAnsi="Arial" w:eastAsia="Arial"/>
          <w:b w:val="0"/>
        </w:rPr>
        <w:t xml:space="preserve"> — tworzy materiały: grafiki, teksty, filmy. Używa Canvy, CapCuta, pisze posty.</w:t>
      </w:r>
    </w:p>
    <w:p>
      <w:r>
        <w:rPr>
          <w:rFonts w:ascii="Arial" w:hAnsi="Arial" w:eastAsia="Arial"/>
          <w:b/>
        </w:rPr>
        <w:t>Research</w:t>
      </w:r>
      <w:r>
        <w:rPr>
          <w:rFonts w:ascii="Arial" w:hAnsi="Arial" w:eastAsia="Arial"/>
          <w:b w:val="0"/>
        </w:rPr>
        <w:t xml:space="preserve"> — zbiera dane na etapie diagnozy, prowadzi ankiety, analizuje wyniki, mierzy efekty.</w:t>
      </w:r>
    </w:p>
    <w:p>
      <w:r>
        <w:rPr>
          <w:rFonts w:ascii="Arial" w:hAnsi="Arial" w:eastAsia="Arial"/>
          <w:b/>
        </w:rPr>
        <w:t>PR</w:t>
      </w:r>
      <w:r>
        <w:rPr>
          <w:rFonts w:ascii="Arial" w:hAnsi="Arial" w:eastAsia="Arial"/>
          <w:b w:val="0"/>
        </w:rPr>
        <w:t xml:space="preserve"> — kontakt z mediami, nauczycielami, radnymi, instytucjami. Pisze maile, dzwoni, buduje relacje.</w:t>
      </w:r>
    </w:p>
    <w:p>
      <w:r>
        <w:rPr>
          <w:rFonts w:ascii="Arial" w:hAnsi="Arial" w:eastAsia="Arial"/>
          <w:b/>
        </w:rPr>
        <w:t>Logistyka</w:t>
      </w:r>
      <w:r>
        <w:rPr>
          <w:rFonts w:ascii="Arial" w:hAnsi="Arial" w:eastAsia="Arial"/>
          <w:b w:val="0"/>
        </w:rPr>
        <w:t xml:space="preserve"> — druk materiałów, rezerwacja sal, zakup potrzebnych rzeczy, organizacja wydarzeń offline.</w:t>
      </w:r>
    </w:p>
    <w:p>
      <w:pPr>
        <w:pStyle w:val="Heading1"/>
      </w:pPr>
      <w:r>
        <w:t>4. Budżet — większość kampanii kosztuje zero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„4. Budżet — większość kampanii kosztuje zero”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To nie jest uproszczenie — to fakt. Większość narzędzi potrzebnych do kampanii jest darmowa: Canva (design), CapCut (wideo), Google Forms (ankiety), Instagram/TikTok/Facebook (kanały), e-mail (kontakt z instytucjami), nogi (chodzenie po okolicy i zbieranie danych).</w:t>
      </w:r>
    </w:p>
    <w:p>
      <w:r>
        <w:rPr>
          <w:rFonts w:ascii="Arial" w:hAnsi="Arial" w:eastAsia="Arial"/>
          <w:b w:val="0"/>
        </w:rPr>
        <w:t>Koszty pojawiają się opcjonalnie: druk plakatów (szkolna drukarnia lub najtańsza drukarnia online — kilkadziesiąt złotych), ewentualne materiały na wydarzenie offline. Ale kampania bez żadnego budżetu jest w pełni możliwa — i często jest równie skuteczna jak kampania za tysiące złotych, bo kluczem jest POMYSŁ i KONSEKWENCJA, nie pieniądze.</w:t>
      </w:r>
    </w:p>
    <w:p>
      <w:pPr>
        <w:pStyle w:val="Heading1"/>
      </w:pPr>
      <w:r>
        <w:t>5. Case study — od diagnozy do zmiany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„5. Case study — od diagnozy do zmiany”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„Segreguj, nie mieszaj" — szkoła w Żorach.</w:t>
      </w:r>
    </w:p>
    <w:p>
      <w:r>
        <w:rPr>
          <w:rFonts w:ascii="Arial" w:hAnsi="Arial" w:eastAsia="Arial"/>
          <w:b w:val="0"/>
        </w:rPr>
        <w:t>Diagnoza: audyt koszy — uczniowie policzyli, ile śmieci trafia do właściwych pojemników. Wynik: 90% trafia do zmieszanych. Cel: 50% poprawnej segregacji w ciągu miesiąca. Odbiorcy: uczniowie i nauczyciele. Narracja: „Twój ślad — twoja decyzja" — plakaty z instrukcją segregacji przy KAŻDYM koszu. Działania: plakaty, lekcja wychowawcza, konkurs między klasami (klasa z najlepszą segregacją wygrywa nagrodę). Harmonogram: 4 tygodnie. Mierzenie: ponowny audyt koszy po miesiącu. Efekt: wzrost poprawnej segregacji o 30 punktów procentowych. Budżet: zero złotych.</w:t>
      </w:r>
    </w:p>
    <w:p>
      <w:r>
        <w:rPr>
          <w:rFonts w:ascii="Arial" w:hAnsi="Arial" w:eastAsia="Arial"/>
          <w:b/>
        </w:rPr>
        <w:t>„Piłeś? Nie jedź!" — kampania ogólnopolska.</w:t>
      </w:r>
    </w:p>
    <w:p>
      <w:r>
        <w:rPr>
          <w:rFonts w:ascii="Arial" w:hAnsi="Arial" w:eastAsia="Arial"/>
          <w:b w:val="0"/>
        </w:rPr>
        <w:t>Diagnoza: dane policji o wypadkach spowodowanych przez nietrzeźwych kierowców. Cel: zmniejszenie jazdy po alkoholu. Odbiorcy: mężczyźni 25–40. Narracja: szokująca — zdjęcia wypadków, emocjonalne historie ofiar. Działania: reklamy TV, billboardy, kontrole policyjne. Harmonogram: kampania cykliczna (powtarzana co roku). Mierzenie: statystyki wypadków rok do roku. Efekt: wieloletni spadek wypadków ze skutkiem śmiertelnym.</w:t>
      </w:r>
    </w:p>
    <w:p>
      <w:pPr>
        <w:pStyle w:val="Heading1"/>
      </w:pPr>
      <w:r>
        <w:t>6. Testowanie komunikatu — zanim opublikujesz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„6. Testowanie komunikatu — zanim opublikujesz”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Zanim opublikujesz komunikat kampanii — przetestuj go. Test wymaga 5 minut i 5 osób, a może uratować kampanię przed porażką.</w:t>
      </w:r>
    </w:p>
    <w:p>
      <w:r>
        <w:rPr>
          <w:rFonts w:ascii="Arial" w:hAnsi="Arial" w:eastAsia="Arial"/>
          <w:b/>
        </w:rPr>
        <w:t>Test zrozumienia:</w:t>
      </w:r>
      <w:r>
        <w:rPr>
          <w:rFonts w:ascii="Arial" w:hAnsi="Arial" w:eastAsia="Arial"/>
          <w:b w:val="0"/>
        </w:rPr>
        <w:t xml:space="preserve"> Pokaż komunikat 5 osobom spoza zespołu. Pytaj: „O czym to jest? Co masz zrobić?" Jeśli 3 z 5 nie rozumieją — zmień komunikat.</w:t>
      </w:r>
    </w:p>
    <w:p>
      <w:r>
        <w:rPr>
          <w:rFonts w:ascii="Arial" w:hAnsi="Arial" w:eastAsia="Arial"/>
          <w:b/>
        </w:rPr>
        <w:t>Test reakcji emocjonalnej:</w:t>
      </w:r>
      <w:r>
        <w:rPr>
          <w:rFonts w:ascii="Arial" w:hAnsi="Arial" w:eastAsia="Arial"/>
          <w:b w:val="0"/>
        </w:rPr>
        <w:t xml:space="preserve"> „Co czujesz po przeczytaniu tego?" Jeśli odpowiedź to „nic" — komunikat jest za słaby. Jeśli „złość na autora" — komunikat jest za agresywny. Ideał: „chcę coś z tym zrobić."</w:t>
      </w:r>
    </w:p>
    <w:p>
      <w:r>
        <w:rPr>
          <w:rFonts w:ascii="Arial" w:hAnsi="Arial" w:eastAsia="Arial"/>
          <w:b/>
        </w:rPr>
        <w:t>Test CTA:</w:t>
      </w:r>
      <w:r>
        <w:rPr>
          <w:rFonts w:ascii="Arial" w:hAnsi="Arial" w:eastAsia="Arial"/>
          <w:b w:val="0"/>
        </w:rPr>
        <w:t xml:space="preserve"> „Wiesz, co masz teraz zrobić?" Jeśli nie — brakuje call to action.</w:t>
      </w:r>
    </w:p>
    <w:p>
      <w:pPr>
        <w:pStyle w:val="Heading1"/>
      </w:pPr>
      <w:r>
        <w:t>7. Kiedy kampania nie działa — plan B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„7. Kiedy kampania nie działa — plan B”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Nie każda kampania odnosi sukces za pierwszym razem. Oto najczęstsze przyczyny porażek i sposoby reagowania:</w:t>
      </w:r>
    </w:p>
    <w:p>
      <w:r>
        <w:rPr>
          <w:rFonts w:ascii="Arial" w:hAnsi="Arial" w:eastAsia="Arial"/>
          <w:b/>
        </w:rPr>
        <w:t>Nikt nie reaguje.</w:t>
      </w:r>
      <w:r>
        <w:rPr>
          <w:rFonts w:ascii="Arial" w:hAnsi="Arial" w:eastAsia="Arial"/>
          <w:b w:val="0"/>
        </w:rPr>
        <w:t xml:space="preserve"> Zły kanał lub zły komunikat. Zmień kanał — może twoja grupa docelowa nie jest tam, gdzie myślisz. Zmień komunikat — może nie trafia w ich motywacje lub blokady.</w:t>
      </w:r>
    </w:p>
    <w:p>
      <w:r>
        <w:rPr>
          <w:rFonts w:ascii="Arial" w:hAnsi="Arial" w:eastAsia="Arial"/>
          <w:b/>
        </w:rPr>
        <w:t>Ludzie reagują, ale nie zmieniają zachowania.</w:t>
      </w:r>
      <w:r>
        <w:rPr>
          <w:rFonts w:ascii="Arial" w:hAnsi="Arial" w:eastAsia="Arial"/>
          <w:b w:val="0"/>
        </w:rPr>
        <w:t xml:space="preserve"> Brak CTA lub zbyt trudne CTA. Uprość — zamiast „zmień styl życia" daj „zrób jedną rzecz: wyrzuć butelkę do żółtego".</w:t>
      </w:r>
    </w:p>
    <w:p>
      <w:r>
        <w:rPr>
          <w:rFonts w:ascii="Arial" w:hAnsi="Arial" w:eastAsia="Arial"/>
          <w:b/>
        </w:rPr>
        <w:t>Backlash — ludzie reagują negatywnie.</w:t>
      </w:r>
      <w:r>
        <w:rPr>
          <w:rFonts w:ascii="Arial" w:hAnsi="Arial" w:eastAsia="Arial"/>
          <w:b w:val="0"/>
        </w:rPr>
        <w:t xml:space="preserve"> Komunikat mógł być odebrany jako moralizatorski, pouczający lub obraźliwy. Słuchaj krytyki, przyznaj się do błędu, popraw. Transparentność odbudowuje zaufanie.</w:t>
      </w:r>
    </w:p>
    <w:p>
      <w:r>
        <w:rPr>
          <w:rFonts w:ascii="Arial" w:hAnsi="Arial" w:eastAsia="Arial"/>
          <w:b/>
        </w:rPr>
        <w:t>Brak danych do mierzenia.</w:t>
      </w:r>
      <w:r>
        <w:rPr>
          <w:rFonts w:ascii="Arial" w:hAnsi="Arial" w:eastAsia="Arial"/>
          <w:b w:val="0"/>
        </w:rPr>
        <w:t xml:space="preserve"> Zaplanuj mierzenie PRZED kampanią (ankieta, audyt), nie po. Pomiar „po" bez pomiaru „przed" nie mówi nic o zmianie.</w:t>
      </w:r>
    </w:p>
    <w:p>
      <w:pPr>
        <w:pStyle w:val="Heading1"/>
      </w:pPr>
      <w:r>
        <w:t>8. Od kampanii do ruchu — skalowanie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„8. Od kampanii do ruchu — skalowanie”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Jeśli kampania zadziałała lokalnie, możesz ją skalować. Rybnicki Alarm Smogowy zaczął w jednym mieście — i wyrósł na ogólnopolski ruch.</w:t>
      </w:r>
    </w:p>
    <w:p>
      <w:r>
        <w:rPr>
          <w:rFonts w:ascii="Arial" w:hAnsi="Arial" w:eastAsia="Arial"/>
          <w:b/>
        </w:rPr>
        <w:t>Dokumentuj.</w:t>
      </w:r>
      <w:r>
        <w:rPr>
          <w:rFonts w:ascii="Arial" w:hAnsi="Arial" w:eastAsia="Arial"/>
          <w:b w:val="0"/>
        </w:rPr>
        <w:t xml:space="preserve"> Zapisz, co zrobiliście, co zadziałało, co nie. Stwórz „instrukcję" dla innych, którzy chcą powtórzyć kampanię w swoim mieście.</w:t>
      </w:r>
    </w:p>
    <w:p>
      <w:r>
        <w:rPr>
          <w:rFonts w:ascii="Arial" w:hAnsi="Arial" w:eastAsia="Arial"/>
          <w:b/>
        </w:rPr>
        <w:t>Dziel się.</w:t>
      </w:r>
      <w:r>
        <w:rPr>
          <w:rFonts w:ascii="Arial" w:hAnsi="Arial" w:eastAsia="Arial"/>
          <w:b w:val="0"/>
        </w:rPr>
        <w:t xml:space="preserve"> Opublikuj case study — na blogu, w mediach społecznościowych, na portalu lokalnym. Inne szkoły, osiedla, miasta mogą chcieć powtórzyć wasz sukces.</w:t>
      </w:r>
    </w:p>
    <w:p>
      <w:r>
        <w:rPr>
          <w:rFonts w:ascii="Arial" w:hAnsi="Arial" w:eastAsia="Arial"/>
          <w:b/>
        </w:rPr>
        <w:t>Buduj sieć.</w:t>
      </w:r>
      <w:r>
        <w:rPr>
          <w:rFonts w:ascii="Arial" w:hAnsi="Arial" w:eastAsia="Arial"/>
          <w:b w:val="0"/>
        </w:rPr>
        <w:t xml:space="preserve"> Połącz się z innymi grupami, które robią podobne rzeczy. Wspólna petycja ma większą siłę niż pięć osobnych. Wspólne dane mają większą wagę niż lokalne obserwacje.</w:t>
      </w:r>
    </w:p>
    <w:p>
      <w:pPr>
        <w:pStyle w:val="Heading1"/>
      </w:pPr>
      <w:r>
        <w:t>Słowniczek pojęć</w:t>
      </w:r>
    </w:p>
    <w:p>
      <w:r>
        <w:rPr>
          <w:rFonts w:ascii="Arial" w:hAnsi="Arial" w:eastAsia="Arial"/>
          <w:b/>
        </w:rPr>
        <w:t>Call to action (CTA)</w:t>
      </w:r>
      <w:r>
        <w:rPr>
          <w:rFonts w:ascii="Arial" w:hAnsi="Arial" w:eastAsia="Arial"/>
          <w:b w:val="0"/>
        </w:rPr>
        <w:t xml:space="preserve"> — konkretna instrukcja dla odbiorcy kampanii: co ma zrobić (podpisać, zgłosić, zmienić).</w:t>
      </w:r>
    </w:p>
    <w:p>
      <w:r>
        <w:rPr>
          <w:rFonts w:ascii="Arial" w:hAnsi="Arial" w:eastAsia="Arial"/>
          <w:b/>
        </w:rPr>
        <w:t>Diagnoza</w:t>
      </w:r>
      <w:r>
        <w:rPr>
          <w:rFonts w:ascii="Arial" w:hAnsi="Arial" w:eastAsia="Arial"/>
          <w:b w:val="0"/>
        </w:rPr>
        <w:t xml:space="preserve"> — etap zbierania danych o problemie przed rozpoczęciem kampanii.</w:t>
      </w:r>
    </w:p>
    <w:p>
      <w:r>
        <w:rPr>
          <w:rFonts w:ascii="Arial" w:hAnsi="Arial" w:eastAsia="Arial"/>
          <w:b/>
        </w:rPr>
        <w:t>Grupa docelowa</w:t>
      </w:r>
      <w:r>
        <w:rPr>
          <w:rFonts w:ascii="Arial" w:hAnsi="Arial" w:eastAsia="Arial"/>
          <w:b w:val="0"/>
        </w:rPr>
        <w:t xml:space="preserve"> — konkretna grupa ludzi, których zachowanie kampania chce zmienić.</w:t>
      </w:r>
    </w:p>
    <w:p>
      <w:r>
        <w:rPr>
          <w:rFonts w:ascii="Arial" w:hAnsi="Arial" w:eastAsia="Arial"/>
          <w:b/>
        </w:rPr>
        <w:t>Impact</w:t>
      </w:r>
      <w:r>
        <w:rPr>
          <w:rFonts w:ascii="Arial" w:hAnsi="Arial" w:eastAsia="Arial"/>
          <w:b w:val="0"/>
        </w:rPr>
        <w:t xml:space="preserve"> — mierzalny efekt kampanii w postaci zmiany zachowania.</w:t>
      </w:r>
    </w:p>
    <w:p>
      <w:r>
        <w:rPr>
          <w:rFonts w:ascii="Arial" w:hAnsi="Arial" w:eastAsia="Arial"/>
          <w:b/>
        </w:rPr>
        <w:t>Kampania społeczna</w:t>
      </w:r>
      <w:r>
        <w:rPr>
          <w:rFonts w:ascii="Arial" w:hAnsi="Arial" w:eastAsia="Arial"/>
          <w:b w:val="0"/>
        </w:rPr>
        <w:t xml:space="preserve"> — zaplanowane, systematyczne działanie mające na celu zmianę zachowania określonej grupy ludzi.</w:t>
      </w:r>
    </w:p>
    <w:p>
      <w:r>
        <w:rPr>
          <w:rFonts w:ascii="Arial" w:hAnsi="Arial" w:eastAsia="Arial"/>
          <w:b/>
        </w:rPr>
        <w:t>Persona</w:t>
      </w:r>
      <w:r>
        <w:rPr>
          <w:rFonts w:ascii="Arial" w:hAnsi="Arial" w:eastAsia="Arial"/>
          <w:b w:val="0"/>
        </w:rPr>
        <w:t xml:space="preserve"> — szczegółowy opis typowego odbiorcy kampanii.</w:t>
      </w:r>
    </w:p>
    <w:p>
      <w:r>
        <w:rPr>
          <w:rFonts w:ascii="Arial" w:hAnsi="Arial" w:eastAsia="Arial"/>
          <w:b/>
        </w:rPr>
        <w:t>SMART</w:t>
      </w:r>
      <w:r>
        <w:rPr>
          <w:rFonts w:ascii="Arial" w:hAnsi="Arial" w:eastAsia="Arial"/>
          <w:b w:val="0"/>
        </w:rPr>
        <w:t xml:space="preserve"> — kryteria dobrego celu: Specific, Measurable, Achievable, Relevant, Time-bound.</w:t>
      </w:r>
    </w:p>
    <w:p>
      <w:r>
        <w:rPr>
          <w:rFonts w:ascii="Arial" w:hAnsi="Arial" w:eastAsia="Arial"/>
          <w:b/>
        </w:rPr>
        <w:t>Slacktivism</w:t>
      </w:r>
      <w:r>
        <w:rPr>
          <w:rFonts w:ascii="Arial" w:hAnsi="Arial" w:eastAsia="Arial"/>
          <w:b w:val="0"/>
        </w:rPr>
        <w:t xml:space="preserve"> — powierzchowne zaangażowanie online dające poczucie aktywizmu bez realnego działania.</w:t>
      </w:r>
    </w:p>
    <w:p>
      <w:pPr>
        <w:pStyle w:val="Heading1"/>
      </w:pPr>
      <w:r>
        <w:t>Przydatne zasoby</w:t>
      </w:r>
    </w:p>
    <w:p>
      <w:pPr>
        <w:pStyle w:val="ListBullet"/>
      </w:pPr>
      <w:r>
        <w:rPr>
          <w:rFonts w:ascii="Arial" w:hAnsi="Arial" w:eastAsia="Arial"/>
          <w:b/>
        </w:rPr>
        <w:t>Canva</w:t>
      </w:r>
      <w:r>
        <w:rPr>
          <w:rFonts w:ascii="Arial" w:hAnsi="Arial" w:eastAsia="Arial"/>
          <w:b w:val="0"/>
        </w:rPr>
        <w:t xml:space="preserve"> (canva.com) — darmowy design</w:t>
      </w:r>
    </w:p>
    <w:p>
      <w:pPr>
        <w:pStyle w:val="ListBullet"/>
      </w:pPr>
      <w:r>
        <w:rPr>
          <w:rFonts w:ascii="Arial" w:hAnsi="Arial" w:eastAsia="Arial"/>
          <w:b/>
        </w:rPr>
        <w:t>Google Forms</w:t>
      </w:r>
      <w:r>
        <w:rPr>
          <w:rFonts w:ascii="Arial" w:hAnsi="Arial" w:eastAsia="Arial"/>
          <w:b w:val="0"/>
        </w:rPr>
        <w:t xml:space="preserve"> — ankiety</w:t>
      </w:r>
    </w:p>
    <w:p>
      <w:pPr>
        <w:pStyle w:val="ListBullet"/>
      </w:pPr>
      <w:r>
        <w:rPr>
          <w:rFonts w:ascii="Arial" w:hAnsi="Arial" w:eastAsia="Arial"/>
          <w:b/>
        </w:rPr>
        <w:t>CapCut</w:t>
      </w:r>
      <w:r>
        <w:rPr>
          <w:rFonts w:ascii="Arial" w:hAnsi="Arial" w:eastAsia="Arial"/>
          <w:b w:val="0"/>
        </w:rPr>
        <w:t xml:space="preserve"> — montaż wideo</w:t>
      </w:r>
    </w:p>
    <w:p>
      <w:pPr>
        <w:pStyle w:val="ListBullet"/>
      </w:pPr>
      <w:r>
        <w:rPr>
          <w:rFonts w:ascii="Arial" w:hAnsi="Arial" w:eastAsia="Arial"/>
          <w:b/>
        </w:rPr>
        <w:t>Mentimeter</w:t>
      </w:r>
      <w:r>
        <w:rPr>
          <w:rFonts w:ascii="Arial" w:hAnsi="Arial" w:eastAsia="Arial"/>
          <w:b w:val="0"/>
        </w:rPr>
        <w:t xml:space="preserve"> (mentimeter.com) — interaktywne głosowania</w:t>
      </w:r>
    </w:p>
    <w:p>
      <w:pPr>
        <w:pStyle w:val="ListBullet"/>
      </w:pPr>
      <w:r>
        <w:rPr>
          <w:rFonts w:ascii="Arial" w:hAnsi="Arial" w:eastAsia="Arial"/>
          <w:b/>
        </w:rPr>
        <w:t>halo!Rybnik</w:t>
      </w:r>
      <w:r>
        <w:rPr>
          <w:rFonts w:ascii="Arial" w:hAnsi="Arial" w:eastAsia="Arial"/>
          <w:b w:val="0"/>
        </w:rPr>
        <w:t xml:space="preserve"> — zgłaszanie problemów</w:t>
      </w:r>
    </w:p>
    <w:p>
      <w:pPr>
        <w:pStyle w:val="ListBullet"/>
      </w:pPr>
      <w:r>
        <w:rPr>
          <w:rFonts w:ascii="Arial" w:hAnsi="Arial" w:eastAsia="Arial"/>
          <w:b/>
        </w:rPr>
        <w:t>BIP twojego miasta</w:t>
      </w:r>
      <w:r>
        <w:rPr>
          <w:rFonts w:ascii="Arial" w:hAnsi="Arial" w:eastAsia="Arial"/>
          <w:b w:val="0"/>
        </w:rPr>
        <w:t xml:space="preserve"> — dane publiczne, konsultacje</w:t>
      </w:r>
    </w:p>
    <w:p>
      <w:pPr>
        <w:pStyle w:val="ListBullet"/>
      </w:pPr>
      <w:r>
        <w:rPr>
          <w:rFonts w:ascii="Arial" w:hAnsi="Arial" w:eastAsia="Arial"/>
          <w:b/>
        </w:rPr>
        <w:t>platforma.demagog.org.pl</w:t>
      </w:r>
      <w:r>
        <w:rPr>
          <w:rFonts w:ascii="Arial" w:hAnsi="Arial" w:eastAsia="Arial"/>
          <w:b w:val="0"/>
        </w:rPr>
        <w:t xml:space="preserve"> — materiały edukacyjne</w:t>
      </w:r>
    </w:p>
    <w:p>
      <w:r>
        <w:rPr>
          <w:rFonts w:ascii="Arial" w:hAnsi="Arial" w:eastAsia="Arial"/>
          <w:b w:val="0"/>
        </w:rPr>
        <w:t>*Opracowanie przygotowane w ramach projektu MFO 2.0 — warsztaty kompetencji cyfrowych i obywatelskich dla młodzieży subregionu rybnickiego.*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Pytanie po lekturze części głównej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Wybierz jeden fragment, który można od razu zamienić w działanie. Co zrobisz inaczej po tej lekcji?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Czy problem jest opisany danymi, czy tylko przeczuciem?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Kto ma zmienić zachowanie i co dokładnie ma zrobić?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Jak zespół pozna, że kampania zadziałała?</w:t>
      </w:r>
    </w:p>
    <w:p/>
    <w:p>
      <w:r>
        <w:br w:type="page"/>
      </w:r>
    </w:p>
    <w:p>
      <w:pPr>
        <w:pStyle w:val="Heading1"/>
      </w:pPr>
      <w:r>
        <w:t>Część ćwiczeniowa</w:t>
      </w:r>
    </w:p>
    <w:p>
      <w:pPr>
        <w:pStyle w:val="Heading2"/>
      </w:pPr>
      <w:r>
        <w:t>Scenariusz pracy 90 minut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3307"/>
        <w:gridCol w:w="3307"/>
        <w:gridCol w:w="3307"/>
      </w:tblGrid>
      <w:tr>
        <w:trPr>
          <w:tblHeader/>
        </w:trPr>
        <w:tc>
          <w:tcPr>
            <w:tcW w:type="dxa" w:w="15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Czas</w:t>
            </w:r>
          </w:p>
        </w:tc>
        <w:tc>
          <w:tcPr>
            <w:tcW w:type="dxa" w:w="23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Etap</w:t>
            </w:r>
          </w:p>
        </w:tc>
        <w:tc>
          <w:tcPr>
            <w:tcW w:type="dxa" w:w="606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Co się dzieje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0-10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Start i diagnoza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Krótka rozmowa: co uczestnicy już wiedzą, czego się obawiają i gdzie spotykają temat w praktyce.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10-30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Pojęcia i przykłady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Praca z częścią główną podręcznika: definicje, pierwszy przykład, wspólne doprecyzowanie pojęć.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30-55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Analiza przypadku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Małe grupy wybierają przykład i sprawdzają go przez pytania z checklisty.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55-75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Projekt działania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Uczestnicy tworzą mini-rozwiązanie: komunikat, plan reakcji, kartę weryfikacji albo szkic kampanii.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75-90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Podsumowanie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Każda grupa pokazuje jeden wniosek, jedno ryzyko i jeden następny krok po zajęciach.</w:t>
            </w:r>
          </w:p>
        </w:tc>
      </w:tr>
    </w:tbl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Ćwiczenie prowadzone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Wykonaj je indywidualnie albo w małej grupie. Celem nie jest perfekcyjna odpowiedź, tylko przejście przez cały proces myślenia.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Wybierz problem, który można zmienić w skali szkoły lub dzielnicy.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Zbierz trzy typy danych: obserwację, ankietę i rozmowę.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Ustal cel SMART oraz grupę odbiorców.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Rozpisz role, harmonogram i materiały.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Zaplanuj ewaluację: co zmierzycie, kiedy i jak.</w:t>
      </w:r>
    </w:p>
    <w:p/>
    <w:p>
      <w:pPr>
        <w:pStyle w:val="Heading2"/>
      </w:pPr>
      <w:r>
        <w:t>Projekt końcowy</w:t>
      </w:r>
    </w:p>
    <w:p>
      <w:pPr>
        <w:spacing w:before="0" w:after="160" w:line="283" w:lineRule="auto"/>
      </w:pPr>
      <w:r>
        <w:t>Opracuj kompletny brief kampanii społecznej: diagnoza, cel, odbiorcy, narracja, kanały, budżet, role, harmonogram i ewaluacja.</w:t>
      </w:r>
    </w:p>
    <w:p>
      <w:pPr>
        <w:pStyle w:val="Heading2"/>
      </w:pPr>
      <w:r>
        <w:t>Rubryka oceny pracy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2480"/>
        <w:gridCol w:w="2480"/>
        <w:gridCol w:w="2480"/>
        <w:gridCol w:w="2480"/>
      </w:tblGrid>
      <w:tr>
        <w:trPr>
          <w:tblHeader/>
        </w:trPr>
        <w:tc>
          <w:tcPr>
            <w:tcW w:type="dxa" w:w="210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Kryterium</w:t>
            </w:r>
          </w:p>
        </w:tc>
        <w:tc>
          <w:tcPr>
            <w:tcW w:type="dxa" w:w="25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 poprawy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Dobrze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Bardzo dobrze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Rozumienie pojęć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definicje są mylone lub używane przypadkowo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poprawnie w większości przykładów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precyzyjnie i pomagają wyjaśnić problem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Praca ze źródłami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brakuje źródeł albo są niejasne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wskazane i częściowo porównane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dobrane świadomie, porównane i ocenione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Zastosowanie w praktyce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jest ogólny i trudny do wykonania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wskazuje możliwe działanie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prowadzi do konkretnego, mierzalnego kroku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Współpraca i komunikacja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wypowiedź jest chaotyczna lub jednostronna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przedstawia stanowisko i słucha pytań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jasno pokazuje proces, decyzje i ograniczenia</w:t>
            </w:r>
          </w:p>
        </w:tc>
      </w:tr>
    </w:tbl>
    <w:p>
      <w:r>
        <w:br w:type="page"/>
      </w:r>
    </w:p>
    <w:p>
      <w:pPr>
        <w:pStyle w:val="Heading2"/>
      </w:pPr>
      <w:r>
        <w:t>Plan wdrożenia po zajęciach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Następne 7 dni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Podręcznik ma prowadzić do działania. Po zajęciach wybierzcie mały krok, który można wykonać bez dużego budżetu i bez czekania na idealne warunki.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1: wybierzcie jeden problem związany z tematem „Kreatywność w działaniu: planowanie kampanii społecznych”.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2: zbierzcie jeden przykład, jedną daną i jedną opinię osoby zainteresowanej.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3: przygotujcie wersję roboczą rozwiązania lub komunikatu.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4-5: pokażcie wersję roboczą dwóm osobom i zbierzcie uwagi.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6-7: poprawcie materiał i zdecydujcie, gdzie zostanie wykorzystany.</w:t>
      </w:r>
    </w:p>
    <w:p/>
    <w:p>
      <w:pPr>
        <w:pStyle w:val="Heading2"/>
      </w:pPr>
      <w:r>
        <w:t>Checklista przed oddaniem pracy</w:t>
      </w:r>
    </w:p>
    <w:p>
      <w:pPr>
        <w:pStyle w:val="ListBullet"/>
      </w:pPr>
      <w:r>
        <w:rPr>
          <w:rFonts w:ascii="Arial" w:hAnsi="Arial" w:eastAsia="Arial"/>
          <w:b w:val="0"/>
        </w:rPr>
        <w:t>zaczynaj od diagnozy, nie od plakatu</w:t>
      </w:r>
    </w:p>
    <w:p>
      <w:pPr>
        <w:pStyle w:val="ListBullet"/>
      </w:pPr>
      <w:r>
        <w:rPr>
          <w:rFonts w:ascii="Arial" w:hAnsi="Arial" w:eastAsia="Arial"/>
          <w:b w:val="0"/>
        </w:rPr>
        <w:t>projektuj zmianę zachowania, nie tylko świadomość</w:t>
      </w:r>
    </w:p>
    <w:p>
      <w:pPr>
        <w:pStyle w:val="ListBullet"/>
      </w:pPr>
      <w:r>
        <w:rPr>
          <w:rFonts w:ascii="Arial" w:hAnsi="Arial" w:eastAsia="Arial"/>
          <w:b w:val="0"/>
        </w:rPr>
        <w:t>dziel role w zespole jasno i wcześnie</w:t>
      </w:r>
    </w:p>
    <w:p>
      <w:pPr>
        <w:pStyle w:val="ListBullet"/>
      </w:pPr>
      <w:r>
        <w:rPr>
          <w:rFonts w:ascii="Arial" w:hAnsi="Arial" w:eastAsia="Arial"/>
          <w:b w:val="0"/>
        </w:rPr>
        <w:t>planuj budżet, czas i ryzyka przed startem</w:t>
      </w:r>
    </w:p>
    <w:p>
      <w:pPr>
        <w:pStyle w:val="ListBullet"/>
      </w:pPr>
      <w:r>
        <w:rPr>
          <w:rFonts w:ascii="Arial" w:hAnsi="Arial" w:eastAsia="Arial"/>
          <w:b w:val="0"/>
        </w:rPr>
        <w:t>po kampanii zbierz dane i opisz wnioski</w:t>
      </w:r>
    </w:p>
    <w:p>
      <w:pPr>
        <w:pStyle w:val="Heading2"/>
      </w:pPr>
      <w:r>
        <w:t>Pytania do rozmowy</w:t>
      </w:r>
    </w:p>
    <w:p>
      <w:pPr>
        <w:pStyle w:val="ListNumber"/>
      </w:pPr>
      <w:r>
        <w:rPr>
          <w:rFonts w:ascii="Arial" w:hAnsi="Arial" w:eastAsia="Arial"/>
          <w:b w:val="0"/>
        </w:rPr>
        <w:t>Czy problem jest opisany danymi, czy tylko przeczuciem?</w:t>
      </w:r>
    </w:p>
    <w:p>
      <w:pPr>
        <w:pStyle w:val="ListNumber"/>
      </w:pPr>
      <w:r>
        <w:rPr>
          <w:rFonts w:ascii="Arial" w:hAnsi="Arial" w:eastAsia="Arial"/>
          <w:b w:val="0"/>
        </w:rPr>
        <w:t>Kto ma zmienić zachowanie i co dokładnie ma zrobić?</w:t>
      </w:r>
    </w:p>
    <w:p>
      <w:pPr>
        <w:pStyle w:val="ListNumber"/>
      </w:pPr>
      <w:r>
        <w:rPr>
          <w:rFonts w:ascii="Arial" w:hAnsi="Arial" w:eastAsia="Arial"/>
          <w:b w:val="0"/>
        </w:rPr>
        <w:t>Jak zespół pozna, że kampania zadziałała?</w:t>
      </w:r>
    </w:p>
    <w:p>
      <w:pPr>
        <w:pStyle w:val="Heading2"/>
      </w:pPr>
      <w:r>
        <w:t>Miejsce na notatki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pStyle w:val="Heading1"/>
      </w:pPr>
      <w:r>
        <w:t>Zakończenie</w:t>
      </w:r>
    </w:p>
    <w:p>
      <w:pPr>
        <w:spacing w:before="0" w:after="120" w:line="283" w:lineRule="auto"/>
      </w:pPr>
      <w:r>
        <w:t>Najważniejszym efektem pracy z podręcznikiem nie jest zapamiętanie wszystkich pojęć, lecz umiejętność użycia ich w realnej sytuacji: w rozmowie, w internecie, w klasie, w projekcie społecznym albo w działaniu lokalnym.</w:t>
      </w:r>
    </w:p>
    <w:p>
      <w:pPr>
        <w:spacing w:before="0" w:after="120" w:line="283" w:lineRule="auto"/>
      </w:pPr>
      <w:r>
        <w:t>Wróć do checklisty po kilku dniach. Jeśli potrafisz wykonać większość punktów bez zaglądania do materiału, ten moduł spełnił swoje zadanie.</w:t>
      </w:r>
    </w:p>
    <w:sectPr w:rsidR="00FC693F" w:rsidRPr="0006063C" w:rsidSect="00034616">
      <w:headerReference w:type="default" r:id="rId12"/>
      <w:footerReference w:type="default" r:id="rId13"/>
      <w:pgSz w:w="11906" w:h="16838"/>
      <w:pgMar w:top="935" w:right="992" w:bottom="992" w:left="992" w:header="465" w:footer="46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center"/>
    </w:pPr>
    <w:r>
      <w:rPr>
        <w:rFonts w:ascii="Arial" w:hAnsi="Arial" w:eastAsia="Arial"/>
        <w:color w:val="5D6B7F"/>
        <w:sz w:val="16"/>
      </w:rPr>
      <w:t xml:space="preserve">MFO 2.0 | </w:t>
    </w:r>
    <w:r>
      <w:rPr>
        <w:rFonts w:ascii="Arial" w:hAnsi="Arial" w:eastAsia="Arial"/>
        <w:color w:val="5D6B7F"/>
        <w:sz w:val="16"/>
      </w:rPr>
      <w:t>Kreatywność w działaniu: planowanie kampanii społecznych</w:t>
    </w:r>
    <w:r>
      <w:rPr>
        <w:rFonts w:ascii="Arial" w:hAnsi="Arial" w:eastAsia="Arial"/>
        <w:color w:val="5D6B7F"/>
        <w:sz w:val="16"/>
      </w:rPr>
      <w:t xml:space="preserve"> | strona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pBdr>
        <w:bottom w:val="single" w:sz="4" w:space="3" w:color="D8E1E8"/>
      </w:pBdr>
    </w:pPr>
    <w:r>
      <w:drawing>
        <wp:inline xmlns:a="http://schemas.openxmlformats.org/drawingml/2006/main" xmlns:pic="http://schemas.openxmlformats.org/drawingml/2006/picture">
          <wp:extent cx="198000" cy="198000"/>
          <wp:docPr id="1" name="Picture 1" title="Logo MFO 2.0" descr="Czarne jednokolorowe logo projektu Młodzieżowe Forum Obywatelskie 2.0.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mfo-logo-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000" cy="198000"/>
                  </a:xfrm>
                  <a:prstGeom prst="rect"/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hAnsi="Arial" w:eastAsia="Arial"/>
        <w:b/>
        <w:color w:val="5D6B7F"/>
        <w:sz w:val="16"/>
      </w:rPr>
      <w:t xml:space="preserve">MFO 2.0 | Demokracja w erze cyfrowej   </w:t>
    </w:r>
    <w:r>
      <w:rPr>
        <w:rFonts w:ascii="Arial" w:hAnsi="Arial" w:eastAsia="Arial"/>
        <w:color w:val="056B72"/>
        <w:sz w:val="16"/>
      </w:rPr>
      <w:t>Kreatywność w działaniu: planowanie kampanii społecznych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10233E"/>
      <w:sz w:val="21"/>
      <w:lang w:val="pl-P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5295F"/>
      <w:sz w:val="36"/>
      <w:szCs w:val="28"/>
      <w:lang w:val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56B72"/>
      <w:sz w:val="28"/>
      <w:szCs w:val="26"/>
      <w:lang w:val="pl-P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0233E"/>
      <w:sz w:val="24"/>
      <w:lang w:val="pl-P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character" w:default="1" w:styleId="DefaultParagraphFont">
    <w:name w:val="Default Paragraph Font"/>
    <w:uiPriority w:val="1"/>
    <w:semiHidden/>
    <w:unhideWhenUsed/>
    <w:rPr>
      <w:lang w:val="pl-PL"/>
    </w:rPr>
  </w:style>
  <w:style w:type="table" w:default="1" w:styleId="TableNormal">
    <w:name w:val="Normal Table"/>
    <w:uiPriority w:val="99"/>
    <w:semiHidden/>
    <w:unhideWhenUsed/>
    <w:rPr>
      <w:lang w:val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>
      <w:lang w:val="pl-PL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pl-P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pl-P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pl-P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pl-P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pl-P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pl-PL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pl-P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pl-P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pl-P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pl-P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pl-P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pl-P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pl-P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pl-P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pl-P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pl-P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pl-PL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pl-PL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pl-PL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pl-PL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pl-P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pl-P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pl-PL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pl-PL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pl-PL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pl-PL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pl-P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pl-P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eader" Target="header2.xml"/><Relationship Id="rId13" Type="http://schemas.openxmlformats.org/officeDocument/2006/relationships/footer" Target="footer2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 08: Kreatywność w działaniu: planowanie kampanii społecznych</dc:title>
  <dc:subject>Młodzieżowe Forum Obywatelskie 2.0 - podręcznik edukacyjny</dc:subject>
  <dc:creator>Młodzieżowe Forum Obywatelskie 2.0</dc:creator>
  <cp:keywords>MFO 2.0, edukacja obywatelska, WCAG 2.2 AA, podręcznik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