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 title="Okładka podręcznika 07: Eko-aktywizacja online" descr="Pełnostronicowa okładka podręcznika 07: Eko-aktywizacja online. Podtytuł: Jak zaprojektować kampanię ekologiczną, która naprawdę zmienia zachowania. Ten podręcznik prowadzi przez projekt kampanii ekologicznej: cel, grupa, komunikat, kanały, mierzenie i poprawa działań. Na dole znajduje się informacja o dofinansowaniu przez Unię Europejską w ramach Erasmus+ Młodzież - Działania partycypacyjne młodzieży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-final-07-eko-aktywizacja-onlin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9"/>
          <w:footerReference w:type="default" r:id="rId10"/>
          <w:pgSz w:w="11906" w:h="16838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/>
      </w:pPr>
      <w:r>
        <w:rPr>
          <w:rFonts w:ascii="Arial" w:hAnsi="Arial" w:eastAsia="Arial"/>
          <w:b/>
          <w:color w:val="056B72"/>
          <w:sz w:val="20"/>
        </w:rPr>
        <w:t>Podręcznik 07</w:t>
      </w:r>
    </w:p>
    <w:p>
      <w:pPr>
        <w:pStyle w:val="Heading1"/>
        <w:spacing w:before="0"/>
      </w:pPr>
      <w:r>
        <w:t>Eko-aktywizacja online</w:t>
      </w:r>
    </w:p>
    <w:p>
      <w:pPr>
        <w:spacing w:before="0" w:after="120" w:line="283" w:lineRule="auto"/>
      </w:pPr>
      <w:r>
        <w:t>Jak zaprojektować kampanię ekologiczną, która naprawdę zmienia zachowania</w:t>
      </w:r>
    </w:p>
    <w:p>
      <w:pPr>
        <w:spacing w:before="0" w:after="200" w:line="283" w:lineRule="auto"/>
      </w:pPr>
      <w:r>
        <w:t>Ten podręcznik prowadzi przez projekt kampanii ekologicznej: cel, grupa, komunikat, kanały, mierzenie i poprawa działań.</w:t>
      </w:r>
    </w:p>
    <w:p>
      <w:pPr>
        <w:spacing w:before="0" w:after="0" w:line="283" w:lineRule="auto"/>
      </w:pPr>
      <w:r>
        <w:rPr>
          <w:rFonts w:ascii="Arial" w:hAnsi="Arial" w:eastAsia="Arial"/>
          <w:color w:val="5D6B7F"/>
          <w:sz w:val="18"/>
        </w:rPr>
        <w:t>Ta strona jest tekstowym odpowiednikiem okładki: zawiera najważniejsze informacje, które na pierwszej stronie są przedstawione graficznie.</w:t>
      </w:r>
    </w:p>
    <w:p>
      <w:r>
        <w:br w:type="page"/>
      </w:r>
    </w:p>
    <w:p>
      <w:pPr>
        <w:spacing w:before="0" w:after="60"/>
        <w:pBdr>
          <w:bottom w:val="single" w:sz="5" w:space="3" w:color="D8E1E8"/>
        </w:pBdr>
      </w:pPr>
      <w:r>
        <w:rPr>
          <w:rFonts w:ascii="Arial" w:hAnsi="Arial" w:eastAsia="Arial"/>
          <w:b/>
          <w:color w:val="5D6B7F"/>
          <w:sz w:val="19"/>
        </w:rPr>
        <w:t>Podręcznik 07 | Eko-aktywizacja online</w:t>
      </w:r>
    </w:p>
    <w:p>
      <w:pPr>
        <w:spacing w:before="200" w:after="40"/>
      </w:pPr>
      <w:r>
        <w:rPr>
          <w:rFonts w:ascii="Arial" w:hAnsi="Arial" w:eastAsia="Arial"/>
          <w:b/>
          <w:color w:val="05295F"/>
          <w:sz w:val="50"/>
        </w:rPr>
        <w:t>Spis treści</w:t>
      </w:r>
    </w:p>
    <w:p>
      <w:pPr>
        <w:spacing w:before="0" w:after="160"/>
      </w:pPr>
      <w:r>
        <w:rPr>
          <w:rFonts w:ascii="Arial" w:hAnsi="Arial" w:eastAsia="Arial"/>
          <w:b/>
          <w:color w:val="056B72"/>
          <w:sz w:val="22"/>
        </w:rPr>
        <w:t>Mapa podręcznika</w:t>
      </w:r>
    </w:p>
    <w:p>
      <w:pPr>
        <w:spacing w:before="0" w:after="200" w:line="276" w:lineRule="auto"/>
      </w:pPr>
      <w:r>
        <w:t>Poniższa mapa pokazuje układ materiału: od krótkiego wejścia w temat, przez część główną, aż po ćwiczenia i plan działania.</w:t>
      </w:r>
    </w:p>
    <w:p>
      <w:pPr>
        <w:shd w:fill="F3F7F9"/>
        <w:spacing w:before="160" w:after="100"/>
        <w:ind w:left="0" w:right="0"/>
      </w:pPr>
      <w:r>
        <w:rPr>
          <w:rFonts w:ascii="Arial" w:hAnsi="Arial" w:eastAsia="Arial"/>
          <w:b/>
          <w:color w:val="056B72"/>
          <w:sz w:val="20"/>
        </w:rPr>
        <w:t>START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Jak korzystać z tego podręcznika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Cele uczenia się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Słowniczek roboczy</w:t>
      </w:r>
    </w:p>
    <w:p>
      <w:pPr>
        <w:shd w:fill="F3F7F9"/>
        <w:spacing w:before="160" w:after="100"/>
        <w:ind w:left="0" w:right="0"/>
      </w:pPr>
      <w:r>
        <w:rPr>
          <w:rFonts w:ascii="Arial" w:hAnsi="Arial" w:eastAsia="Arial"/>
          <w:b/>
          <w:color w:val="056B72"/>
          <w:sz w:val="20"/>
        </w:rPr>
        <w:t>CZĘŚĆ GŁÓWNA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Wstęp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1. Pięć elementów skutecznej kampanii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2. Case study — kampanie, które zadziałały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3. Trzy błędy, które zabijają kampanie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4. Formaty, które działają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5. Narzędzia — twój telefon to agencja kampanijna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6. Harmonogram kampanii — tydzień po tygodniu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7. Mierzenie efektów — zasięg to nie sukces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8. Od kampanii online do działania offline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Przydatne zasoby</w:t>
      </w:r>
    </w:p>
    <w:p>
      <w:pPr>
        <w:shd w:fill="F3F7F9"/>
        <w:spacing w:before="160" w:after="100"/>
        <w:ind w:left="0" w:right="0"/>
      </w:pPr>
      <w:r>
        <w:rPr>
          <w:rFonts w:ascii="Arial" w:hAnsi="Arial" w:eastAsia="Arial"/>
          <w:b/>
          <w:color w:val="056B72"/>
          <w:sz w:val="20"/>
        </w:rPr>
        <w:t>WARSZTAT I WDROŻENIE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Część ćwiczeniowa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Scenariusz pracy 90 minut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Ćwiczenie prowadzone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Projekt końcowy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Rubryka oceny pracy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Plan wdrożenia po zajęciach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Checklista przed oddaniem pracy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Pytania do rozmowy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Miejsce na notatki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Zakończenie</w:t>
      </w:r>
    </w:p>
    <w:p>
      <w:pPr>
        <w:spacing w:before="160" w:after="0"/>
        <w:shd w:fill="E7F6F6"/>
      </w:pPr>
      <w:r>
        <w:rPr>
          <w:rFonts w:ascii="Arial" w:hAnsi="Arial" w:eastAsia="Arial"/>
          <w:b/>
          <w:color w:val="056B72"/>
          <w:sz w:val="18"/>
        </w:rPr>
        <w:t xml:space="preserve">Wskazówka: </w:t>
      </w:r>
      <w:r>
        <w:rPr>
          <w:rFonts w:ascii="Arial" w:hAnsi="Arial" w:eastAsia="Arial"/>
          <w:color w:val="10233E"/>
          <w:sz w:val="18"/>
        </w:rPr>
        <w:t>w wersji cyfrowej korzystaj także z panelu nawigacji po nagłówkach w edytorze tekstu.</w:t>
      </w:r>
    </w:p>
    <w:p>
      <w:r>
        <w:br w:type="page"/>
      </w:r>
    </w:p>
    <w:p>
      <w:pPr>
        <w:pStyle w:val="Heading1"/>
        <w:spacing w:before="0"/>
      </w:pPr>
      <w:r>
        <w:t>Jak korzystać z tego podręcznika</w:t>
      </w:r>
    </w:p>
    <w:p>
      <w:pPr>
        <w:spacing w:before="0" w:after="160" w:line="288" w:lineRule="auto"/>
      </w:pPr>
      <w:r>
        <w:t>Ten podręcznik prowadzi przez projekt kampanii ekologicznej: cel, grupa, komunikat, kanały, mierzenie i poprawa działań.</w:t>
      </w:r>
    </w:p>
    <w:p>
      <w:pPr>
        <w:shd w:fill="E7F6F6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Proponowany rytm pracy</w:t>
      </w:r>
    </w:p>
    <w:p>
      <w:pPr>
        <w:shd w:fill="E7F6F6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Najlepiej czytać ten materiał aktywnie: najpierw zrozum pojęcia, potem przećwicz narzędzie na przykładzie, a na końcu zaplanuj własne działanie.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Czytaj z ołówkiem: podkreślaj decyzje, narzędzia i przykłady.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Po każdej większej części zatrzymaj się przy pytaniu kontrolnym.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Nie kończ na wiedzy: wykonaj kartę pracy i mini-projekt.</w:t>
      </w:r>
    </w:p>
    <w:p/>
    <w:p>
      <w:pPr>
        <w:pStyle w:val="Heading2"/>
      </w:pPr>
      <w:r>
        <w:t>Cele uczenia się</w:t>
      </w:r>
    </w:p>
    <w:p>
      <w:pPr>
        <w:pStyle w:val="ListBullet"/>
      </w:pPr>
      <w:r>
        <w:rPr>
          <w:rFonts w:ascii="Arial" w:hAnsi="Arial" w:eastAsia="Arial"/>
          <w:b w:val="0"/>
        </w:rPr>
        <w:t>formułować cel kampanii w modelu SMART</w:t>
      </w:r>
    </w:p>
    <w:p>
      <w:pPr>
        <w:pStyle w:val="ListBullet"/>
      </w:pPr>
      <w:r>
        <w:rPr>
          <w:rFonts w:ascii="Arial" w:hAnsi="Arial" w:eastAsia="Arial"/>
          <w:b w:val="0"/>
        </w:rPr>
        <w:t>opisywać grupę docelową i jej bariery</w:t>
      </w:r>
    </w:p>
    <w:p>
      <w:pPr>
        <w:pStyle w:val="ListBullet"/>
      </w:pPr>
      <w:r>
        <w:rPr>
          <w:rFonts w:ascii="Arial" w:hAnsi="Arial" w:eastAsia="Arial"/>
          <w:b w:val="0"/>
        </w:rPr>
        <w:t>tworzyć prosty komunikat i jedno wezwanie do działania</w:t>
      </w:r>
    </w:p>
    <w:p>
      <w:pPr>
        <w:pStyle w:val="ListBullet"/>
      </w:pPr>
      <w:r>
        <w:rPr>
          <w:rFonts w:ascii="Arial" w:hAnsi="Arial" w:eastAsia="Arial"/>
          <w:b w:val="0"/>
        </w:rPr>
        <w:t>dobierać kanały do odbiorców, nie do własnych preferencji</w:t>
      </w:r>
    </w:p>
    <w:p>
      <w:pPr>
        <w:pStyle w:val="ListBullet"/>
      </w:pPr>
      <w:r>
        <w:rPr>
          <w:rFonts w:ascii="Arial" w:hAnsi="Arial" w:eastAsia="Arial"/>
          <w:b w:val="0"/>
        </w:rPr>
        <w:t>mierzyć efekt kampanii poza liczbą polubień</w:t>
      </w:r>
    </w:p>
    <w:p>
      <w:pPr>
        <w:pStyle w:val="Heading2"/>
      </w:pPr>
      <w:r>
        <w:t>Słowniczek roboczy</w:t>
      </w:r>
    </w:p>
    <w:tbl>
      <w:tblPr>
        <w:tblW w:type="dxa" w:w="9860"/>
        <w:jc w:val="center"/>
        <w:tblLook w:firstColumn="1" w:firstRow="1" w:lastColumn="0" w:lastRow="0" w:noHBand="0" w:noVBand="1" w:val="04A0"/>
        <w:tblLayout w:type="fixed"/>
      </w:tblPr>
      <w:tblGrid>
        <w:gridCol w:w="4961"/>
        <w:gridCol w:w="4961"/>
      </w:tblGrid>
      <w:tr>
        <w:trPr>
          <w:tblHeader/>
        </w:trPr>
        <w:tc>
          <w:tcPr>
            <w:tcW w:type="dxa" w:w="2550"/>
            <w:tcMar>
              <w:top w:w="120" w:type="dxa"/>
              <w:start w:w="140" w:type="dxa"/>
              <w:bottom w:w="100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9"/>
              </w:rPr>
              <w:t>Pojęcie</w:t>
            </w:r>
          </w:p>
        </w:tc>
        <w:tc>
          <w:tcPr>
            <w:tcW w:type="dxa" w:w="7310"/>
            <w:tcMar>
              <w:top w:w="120" w:type="dxa"/>
              <w:start w:w="140" w:type="dxa"/>
              <w:bottom w:w="100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9"/>
              </w:rPr>
              <w:t>Jak rozumieć je w praktyce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SMART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model celu: konkretny, mierzalny, osiągalny, istotny i terminowy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Persona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opis typowego odbiorcy kampanii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CTA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jedno konkretne wezwanie do działania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Kanał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miejsce dotarcia do odbiorców, np. grupa, szkoła, social media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Miernik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dane pokazujące, czy kampania zmieniła zachowanie</w:t>
            </w:r>
          </w:p>
        </w:tc>
      </w:tr>
    </w:tbl>
    <w:p>
      <w:pPr>
        <w:pStyle w:val="Heading1"/>
      </w:pPr>
      <w:r>
        <w:t>Wstęp</w:t>
      </w:r>
    </w:p>
    <w:p>
      <w:r>
        <w:rPr>
          <w:rFonts w:ascii="Arial" w:hAnsi="Arial" w:eastAsia="Arial"/>
          <w:b w:val="0"/>
        </w:rPr>
        <w:t>Internet jest pełen ekologicznych postów, hashtagów i wezwań. Większość z nich nie zmienia niczego poza samopoczuciem osoby, która je udostępnia. Różnica między postem, który generuje lajki, a kampanią, która generuje zmianę, sprowadza się do pięciu elementów: cel, grupa docelowa, komunikat, kanały i mierzenie efektów.</w:t>
      </w:r>
    </w:p>
    <w:p>
      <w:r>
        <w:rPr>
          <w:rFonts w:ascii="Arial" w:hAnsi="Arial" w:eastAsia="Arial"/>
          <w:b w:val="0"/>
        </w:rPr>
        <w:t>Ten podręcznik uczy projektowania kampanii ekologicznych online — nie abstrakcyjnie, lecz w oparciu o konkretne narzędzia, case study z Polski i regionu oraz metodologię, którą możesz zastosować od zaraz, z telefonem w ręku i bez budżetu.</w:t>
      </w:r>
    </w:p>
    <w:p>
      <w:pPr>
        <w:pStyle w:val="Heading1"/>
      </w:pPr>
      <w:r>
        <w:t>1. Pięć elementów skutecznej kampanii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„1. Pięć elementów skutecznej kampanii”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Każda kampania, która naprawdę coś zmienia — od „Piłeś? Nie jedź!" po lokalne akcje segregacyjne — ma te same pięć elementów. Brak któregokolwiek to różnica między kampanią a szumem.</w:t>
      </w:r>
    </w:p>
    <w:p>
      <w:r>
        <w:rPr>
          <w:rFonts w:ascii="Arial" w:hAnsi="Arial" w:eastAsia="Arial"/>
          <w:b/>
        </w:rPr>
        <w:t>CEL (SMART).</w:t>
      </w:r>
      <w:r>
        <w:rPr>
          <w:rFonts w:ascii="Arial" w:hAnsi="Arial" w:eastAsia="Arial"/>
          <w:b w:val="0"/>
        </w:rPr>
        <w:t xml:space="preserve"> Nie życzenie, nie hasło — mierzalny, konkretny, terminowy cel. Złe: „Chcemy czystsze powietrze." Jak to zmierzycie? Kiedy uznacie, że się udało? Dobre: „Zmniejszyć liczbę osób palących liśćmi w Boguszowicach o 50% do końca sezonu grzewczego." Konkretne miejsce, konkretne zachowanie, konkretna miara, konkretny termin.</w:t>
      </w:r>
    </w:p>
    <w:p>
      <w:r>
        <w:rPr>
          <w:rFonts w:ascii="Arial" w:hAnsi="Arial" w:eastAsia="Arial"/>
          <w:b w:val="0"/>
        </w:rPr>
        <w:t>SMART to akronim: Specific (konkretny), Measurable (mierzalny), Achievable (osiągalny), Relevant (istotny), Time-bound (terminowy). Jeśli twój cel nie spełnia KAŻDEGO z tych kryteriów — doprecyzuj go.</w:t>
      </w:r>
    </w:p>
    <w:p>
      <w:r>
        <w:rPr>
          <w:rFonts w:ascii="Arial" w:hAnsi="Arial" w:eastAsia="Arial"/>
          <w:b/>
        </w:rPr>
        <w:t>GRUPA DOCELOWA.</w:t>
      </w:r>
      <w:r>
        <w:rPr>
          <w:rFonts w:ascii="Arial" w:hAnsi="Arial" w:eastAsia="Arial"/>
          <w:b w:val="0"/>
        </w:rPr>
        <w:t xml:space="preserve"> Nie „wszyscy ludzie na świecie". Kto konkretnie ma zmienić zachowanie? Im precyzyjniej opiszesz odbiorcę, tym lepszy komunikat stworzysz. „Właściciele domów jednorodzinnych z kotłami na węgiel w dzielnicy Boguszowice, wiek 40–65, aktywni na Facebooku w grupie dzielnicowej" — to persona, z którą możesz pracować. „Ludzie" — to nie persona.</w:t>
      </w:r>
    </w:p>
    <w:p>
      <w:r>
        <w:rPr>
          <w:rFonts w:ascii="Arial" w:hAnsi="Arial" w:eastAsia="Arial"/>
          <w:b/>
        </w:rPr>
        <w:t>KOMUNIKAT.</w:t>
      </w:r>
      <w:r>
        <w:rPr>
          <w:rFonts w:ascii="Arial" w:hAnsi="Arial" w:eastAsia="Arial"/>
          <w:b w:val="0"/>
        </w:rPr>
        <w:t xml:space="preserve"> Jedno zdanie, które zostaje w głowie. Nie wykład. Nie raport. Jedno zdanie, max 15 słów, które mówi: co jest problemem i co masz zrobić. „Ten dym z twojego kominka oddycha twoje dziecko." „Twój sąsiad segreguje — a ty?" „Jedno zgłoszenie = czyste powietrze." Prosty, emocjonalny, konkretny.</w:t>
      </w:r>
    </w:p>
    <w:p>
      <w:r>
        <w:rPr>
          <w:rFonts w:ascii="Arial" w:hAnsi="Arial" w:eastAsia="Arial"/>
          <w:b/>
        </w:rPr>
        <w:t>KANAŁY.</w:t>
      </w:r>
      <w:r>
        <w:rPr>
          <w:rFonts w:ascii="Arial" w:hAnsi="Arial" w:eastAsia="Arial"/>
          <w:b w:val="0"/>
        </w:rPr>
        <w:t xml:space="preserve"> Gdzie jest twoja grupa docelowa? Kanał musi pasować do grupy, nie do ciebie. Czterdziestolatki z ogródkami → Facebook, lokalna grupa dzielnicowa. Nastolatki → TikTok, Instagram. Rodzice uczniów → Librus, grupa klasowa na Messengerze. Seniorzy → portal lokalny, drukowana ulotka. Kampania na TikToku skierowana do seniorów nie zadziała — nie dlatego, że TikTok jest zły, lecz dlatego, że seniorzy tam nie są.</w:t>
      </w:r>
    </w:p>
    <w:p>
      <w:r>
        <w:rPr>
          <w:rFonts w:ascii="Arial" w:hAnsi="Arial" w:eastAsia="Arial"/>
          <w:b/>
        </w:rPr>
        <w:t>MIERZENIE.</w:t>
      </w:r>
      <w:r>
        <w:rPr>
          <w:rFonts w:ascii="Arial" w:hAnsi="Arial" w:eastAsia="Arial"/>
          <w:b w:val="0"/>
        </w:rPr>
        <w:t xml:space="preserve"> Skąd wiesz, że zadziałało? Lajki nie są miarą sukcesu kampanii ekologicznej — zmiana zachowania jest. Ile osób podpisało petycję? Ile zgłoszeń kopciuchów wpłynęło? O ile wzrosła segregacja? Bez mierzenia nie wiesz, czy kampania była skuteczna — wiesz tylko, że była głośna.</w:t>
      </w:r>
    </w:p>
    <w:p>
      <w:pPr>
        <w:pStyle w:val="Heading1"/>
      </w:pPr>
      <w:r>
        <w:t>2. Case study — kampanie, które zadziałały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„2. Case study — kampanie, które zadziałały”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/>
        </w:rPr>
        <w:t>„Nie truj sąsiada" — Rybnicki Alarm Smogowy.</w:t>
      </w:r>
      <w:r>
        <w:rPr>
          <w:rFonts w:ascii="Arial" w:hAnsi="Arial" w:eastAsia="Arial"/>
          <w:b w:val="0"/>
        </w:rPr>
        <w:t xml:space="preserve"> Cel: zwiększyć liczbę zgłoszeń kopciuchów. Grupa: mieszkańcy Rybnika 30+. Komunikat: prosty, bezpośredni, z danymi o zdrowiu. Kanały: Facebook RAS, media lokalne, ulotki. Efekt: tysiące zgłoszeń, uchwała antysmogowa, likwidacja ponad 5400 kopciuchów. Co wyróżnia tę kampanię: DANE jako fundament (nie emocje), KONSEKWENCJA (nie jednorazowy post, lecz lata systematycznej pracy), ESKALACJA (od postów przez petycje po zawiadomienia do prokuratury).</w:t>
      </w:r>
    </w:p>
    <w:p>
      <w:r>
        <w:rPr>
          <w:rFonts w:ascii="Arial" w:hAnsi="Arial" w:eastAsia="Arial"/>
          <w:b/>
        </w:rPr>
        <w:t>#TrashTag Challenge.</w:t>
      </w:r>
      <w:r>
        <w:rPr>
          <w:rFonts w:ascii="Arial" w:hAnsi="Arial" w:eastAsia="Arial"/>
          <w:b w:val="0"/>
        </w:rPr>
        <w:t xml:space="preserve"> Cel: posprzątaj jedno miejsce. Komunikat: zdjęcie „przed i po". Mechanizm: challenge — ludzie naśladują. Efekt: miliony zdjęć posprzątanych miejsc na całym świecie. Co wyróżnia: PROSTOTA (każdy może wziąć udział), WIZUALNOŚĆ (zdjęcie mówi więcej niż tekst), MIERZALNOŚĆ (każde zdjęcie = jedno posprzątane miejsce), MECHANIZM VIRALOWY (challenge zachęca do naśladowania).</w:t>
      </w:r>
    </w:p>
    <w:p>
      <w:r>
        <w:rPr>
          <w:rFonts w:ascii="Arial" w:hAnsi="Arial" w:eastAsia="Arial"/>
          <w:b/>
        </w:rPr>
        <w:t>Szkolna kampania segregacyjna — Żory.</w:t>
      </w:r>
      <w:r>
        <w:rPr>
          <w:rFonts w:ascii="Arial" w:hAnsi="Arial" w:eastAsia="Arial"/>
          <w:b w:val="0"/>
        </w:rPr>
        <w:t xml:space="preserve"> Cel: zwiększyć poprawną segregację w szkole z 10% do 50% w miesiąc. Metoda: audyt koszy (diagnoza) → plakaty z instrukcją (komunikat) → konkurs między klasami (motywacja) → ponowny audyt (mierzenie). Efekt: wzrost segregacji o 30 punktów procentowych. Budżet: zero złotych. Czas: jeden miesiąc. Co wyróżnia: DIAGNOZA przed kampanią (nie „wydaje mi się", lecz „zmierzyliśmy"), MIERZENIE po kampanii (ponowny audyt), ZERO BUDŻETU.</w:t>
      </w:r>
    </w:p>
    <w:p>
      <w:pPr>
        <w:pStyle w:val="Heading1"/>
      </w:pPr>
      <w:r>
        <w:t>3. Trzy błędy, które zabijają kampanie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„3. Trzy błędy, które zabijają kampanie”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/>
        </w:rPr>
        <w:t>Za szeroki cel.</w:t>
      </w:r>
      <w:r>
        <w:rPr>
          <w:rFonts w:ascii="Arial" w:hAnsi="Arial" w:eastAsia="Arial"/>
          <w:b w:val="0"/>
        </w:rPr>
        <w:t xml:space="preserve"> „Chcemy uratować planetę" — nikt nie wie, co z tym zrobić. Zawęź: jedno zachowanie, jedna grupa, jedno miejsce, jeden miesiąc. „Zmniejszyć zużycie plastikowych kubków w szkolnym bufecie o 80% do końca semestru" — to jest cel, z którym da się pracować.</w:t>
      </w:r>
    </w:p>
    <w:p>
      <w:r>
        <w:rPr>
          <w:rFonts w:ascii="Arial" w:hAnsi="Arial" w:eastAsia="Arial"/>
          <w:b/>
        </w:rPr>
        <w:t>Zły kanał.</w:t>
      </w:r>
      <w:r>
        <w:rPr>
          <w:rFonts w:ascii="Arial" w:hAnsi="Arial" w:eastAsia="Arial"/>
          <w:b w:val="0"/>
        </w:rPr>
        <w:t xml:space="preserve"> Kampania dla seniorów na TikToku. Kampania dla nastolatków w lokalnej gazecie. Kampania dla rodziców uczniów na LinkedIn. Kanał MUSI pasować do grupy docelowej — to nie jest kwestia preferencji, lecz skuteczności. Przed kampanią sprawdź: gdzie twoja grupa docelowa NAPRAWDĘ spędza czas online?</w:t>
      </w:r>
    </w:p>
    <w:p>
      <w:r>
        <w:rPr>
          <w:rFonts w:ascii="Arial" w:hAnsi="Arial" w:eastAsia="Arial"/>
          <w:b/>
        </w:rPr>
        <w:t>Brak call to action (CTA).</w:t>
      </w:r>
      <w:r>
        <w:rPr>
          <w:rFonts w:ascii="Arial" w:hAnsi="Arial" w:eastAsia="Arial"/>
          <w:b w:val="0"/>
        </w:rPr>
        <w:t xml:space="preserve"> Post mówi: „Smog jest zły." I co? Co mam ZROBIĆ? Zgłosić kopciucha? Podpisać petycję? Zmienić piec? Każdy materiał kampanijny musi kończyć się JEDNYM, konkretnym krokiem: „Zrób to. Teraz. Tutaj [link]." Post bez CTA to dekoracja.</w:t>
      </w:r>
    </w:p>
    <w:p>
      <w:pPr>
        <w:pStyle w:val="Heading1"/>
      </w:pPr>
      <w:r>
        <w:t>4. Formaty, które działają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„4. Formaty, które działają”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/>
        </w:rPr>
        <w:t>Dane wizualne.</w:t>
      </w:r>
      <w:r>
        <w:rPr>
          <w:rFonts w:ascii="Arial" w:hAnsi="Arial" w:eastAsia="Arial"/>
          <w:b w:val="0"/>
        </w:rPr>
        <w:t xml:space="preserve"> Jedna duża liczba na grafice jest skuteczniejsza niż pięć wykresów. „5400 kopciuchów zlikwidowanych" — duża czcionka, kontrastowe tło, logo kampanii. Mózg zapamiętuje jedną liczbę, gubi się w tabeli.</w:t>
      </w:r>
    </w:p>
    <w:p>
      <w:r>
        <w:rPr>
          <w:rFonts w:ascii="Arial" w:hAnsi="Arial" w:eastAsia="Arial"/>
          <w:b/>
        </w:rPr>
        <w:t>Przed/po.</w:t>
      </w:r>
      <w:r>
        <w:rPr>
          <w:rFonts w:ascii="Arial" w:hAnsi="Arial" w:eastAsia="Arial"/>
          <w:b w:val="0"/>
        </w:rPr>
        <w:t xml:space="preserve"> Zdjęcie zaśmieconego miejsca obok tego samego miejsca po sprzątaniu. Dane o powietrzu przed i po wymianie pieca. Wizualny kontrast jest jednym z najpotężniejszych narzędzi komunikacji — bo nie wymaga tłumaczenia.</w:t>
      </w:r>
    </w:p>
    <w:p>
      <w:r>
        <w:rPr>
          <w:rFonts w:ascii="Arial" w:hAnsi="Arial" w:eastAsia="Arial"/>
          <w:b/>
        </w:rPr>
        <w:t>Challenge.</w:t>
      </w:r>
      <w:r>
        <w:rPr>
          <w:rFonts w:ascii="Arial" w:hAnsi="Arial" w:eastAsia="Arial"/>
          <w:b w:val="0"/>
        </w:rPr>
        <w:t xml:space="preserve"> Mechanizm viralowy: „Zrób X i oznacz trzech znajomych." #TrashTag, Ice Bucket Challenge, No Mow May. Klucz: prostota (każdy może wziąć udział) + wizualność (łatwo udostępnić) + społeczny dowód (widzę, że inni robią).</w:t>
      </w:r>
    </w:p>
    <w:p>
      <w:r>
        <w:rPr>
          <w:rFonts w:ascii="Arial" w:hAnsi="Arial" w:eastAsia="Arial"/>
          <w:b/>
        </w:rPr>
        <w:t>Historia osobista.</w:t>
      </w:r>
      <w:r>
        <w:rPr>
          <w:rFonts w:ascii="Arial" w:hAnsi="Arial" w:eastAsia="Arial"/>
          <w:b w:val="0"/>
        </w:rPr>
        <w:t xml:space="preserve"> „Mieszkam w Boguszowicach. Tak wygląda moje powietrze o 7 rano." Osobista perspektywa angażuje emocjonalnie bardziej niż abstrakcyjne dane — bo ludzki mózg ewoluował do rozumienia indywidualnych historii, nie statystyk.</w:t>
      </w:r>
    </w:p>
    <w:p>
      <w:r>
        <w:rPr>
          <w:rFonts w:ascii="Arial" w:hAnsi="Arial" w:eastAsia="Arial"/>
          <w:b/>
        </w:rPr>
        <w:t>Ankieta.</w:t>
      </w:r>
      <w:r>
        <w:rPr>
          <w:rFonts w:ascii="Arial" w:hAnsi="Arial" w:eastAsia="Arial"/>
          <w:b w:val="0"/>
        </w:rPr>
        <w:t xml:space="preserve"> „Czy wiesz, że 70% Polaków nie sprawdza eko-deklaracji?" — pytanie angażuje odbiorcę i buduje ciekawość. Ankieta (Google Forms, Stories na Instagramie) jednocześnie informuje i zbiera dane.</w:t>
      </w:r>
    </w:p>
    <w:p>
      <w:pPr>
        <w:pStyle w:val="Heading1"/>
      </w:pPr>
      <w:r>
        <w:t>5. Narzędzia — twój telefon to agencja kampanijna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„5. Narzędzia — twój telefon to agencja kampanijna”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Nie potrzebujesz agencji reklamowej, grafika ani budżetu. Potrzebujesz pomysłu i telefonu.</w:t>
      </w:r>
    </w:p>
    <w:p>
      <w:r>
        <w:rPr>
          <w:rFonts w:ascii="Arial" w:hAnsi="Arial" w:eastAsia="Arial"/>
          <w:b/>
        </w:rPr>
        <w:t>Canva</w:t>
      </w:r>
      <w:r>
        <w:rPr>
          <w:rFonts w:ascii="Arial" w:hAnsi="Arial" w:eastAsia="Arial"/>
          <w:b w:val="0"/>
        </w:rPr>
        <w:t xml:space="preserve"> (canva.com) — darmowy edytor graficzny. Szablony postów na Instagram, Facebook, plakaty, infografiki. Działa na telefonie i komputerze. Wystarczy 10 minut, żeby stworzyć profesjonalnie wyglądającą grafikę.</w:t>
      </w:r>
    </w:p>
    <w:p>
      <w:r>
        <w:rPr>
          <w:rFonts w:ascii="Arial" w:hAnsi="Arial" w:eastAsia="Arial"/>
          <w:b/>
        </w:rPr>
        <w:t>CapCut</w:t>
      </w:r>
      <w:r>
        <w:rPr>
          <w:rFonts w:ascii="Arial" w:hAnsi="Arial" w:eastAsia="Arial"/>
          <w:b w:val="0"/>
        </w:rPr>
        <w:t xml:space="preserve"> — darmowy edytor wideo na telefon. Montaż, napisy, efekty. Idealny do krótkich filmów na TikToka i Instagram Reels.</w:t>
      </w:r>
    </w:p>
    <w:p>
      <w:r>
        <w:rPr>
          <w:rFonts w:ascii="Arial" w:hAnsi="Arial" w:eastAsia="Arial"/>
          <w:b/>
        </w:rPr>
        <w:t>Google Forms</w:t>
      </w:r>
      <w:r>
        <w:rPr>
          <w:rFonts w:ascii="Arial" w:hAnsi="Arial" w:eastAsia="Arial"/>
          <w:b w:val="0"/>
        </w:rPr>
        <w:t xml:space="preserve"> — darmowe ankiety. Idealne do zbierania danych PRZED kampanią (diagnoza) i PO kampanii (mierzenie efektów). Link do formularza można udostępniać w social mediach.</w:t>
      </w:r>
    </w:p>
    <w:p>
      <w:r>
        <w:rPr>
          <w:rFonts w:ascii="Arial" w:hAnsi="Arial" w:eastAsia="Arial"/>
          <w:b/>
        </w:rPr>
        <w:t>Mentimeter</w:t>
      </w:r>
      <w:r>
        <w:rPr>
          <w:rFonts w:ascii="Arial" w:hAnsi="Arial" w:eastAsia="Arial"/>
          <w:b w:val="0"/>
        </w:rPr>
        <w:t xml:space="preserve"> (mentimeter.com) — interaktywne głosowania i ankiety na żywo. Przydatne na spotkaniach i wydarzeniach.</w:t>
      </w:r>
    </w:p>
    <w:p>
      <w:r>
        <w:rPr>
          <w:rFonts w:ascii="Arial" w:hAnsi="Arial" w:eastAsia="Arial"/>
          <w:b/>
        </w:rPr>
        <w:t>Linktree</w:t>
      </w:r>
      <w:r>
        <w:rPr>
          <w:rFonts w:ascii="Arial" w:hAnsi="Arial" w:eastAsia="Arial"/>
          <w:b w:val="0"/>
        </w:rPr>
        <w:t xml:space="preserve"> — jeden link zbierający wszystkie twoje zasoby (petycję, ankietę, stronę, social media). Idealny do bio na Instagramie.</w:t>
      </w:r>
    </w:p>
    <w:p>
      <w:pPr>
        <w:pStyle w:val="Heading1"/>
      </w:pPr>
      <w:r>
        <w:t>6. Harmonogram kampanii — tydzień po tygodniu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„6. Harmonogram kampanii — tydzień po tygodniu”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Nawet najprostsza kampania potrzebuje harmonogramu. Oto szablon:</w:t>
      </w:r>
    </w:p>
    <w:p>
      <w:r>
        <w:rPr>
          <w:rFonts w:ascii="Arial" w:hAnsi="Arial" w:eastAsia="Arial"/>
          <w:b/>
        </w:rPr>
        <w:t>Tydzień 1: Diagnoza.</w:t>
      </w:r>
      <w:r>
        <w:rPr>
          <w:rFonts w:ascii="Arial" w:hAnsi="Arial" w:eastAsia="Arial"/>
          <w:b w:val="0"/>
        </w:rPr>
        <w:t xml:space="preserve"> Zbierz dane (ankieta, obserwacja, dane publiczne). Określ skalę problemu. Zdefiniuj cel SMART. Określ grupę docelową.</w:t>
      </w:r>
    </w:p>
    <w:p>
      <w:r>
        <w:rPr>
          <w:rFonts w:ascii="Arial" w:hAnsi="Arial" w:eastAsia="Arial"/>
          <w:b/>
        </w:rPr>
        <w:t>Tydzień 2: Przygotowanie.</w:t>
      </w:r>
      <w:r>
        <w:rPr>
          <w:rFonts w:ascii="Arial" w:hAnsi="Arial" w:eastAsia="Arial"/>
          <w:b w:val="0"/>
        </w:rPr>
        <w:t xml:space="preserve"> Stwórz komunikat główny. Zaprojektuj materiały (grafika, post, film). Przetestuj komunikat na kilku osobach — czy rozumieją? Czy wiedzą, co mają zrobić?</w:t>
      </w:r>
    </w:p>
    <w:p>
      <w:r>
        <w:rPr>
          <w:rFonts w:ascii="Arial" w:hAnsi="Arial" w:eastAsia="Arial"/>
          <w:b/>
        </w:rPr>
        <w:t>Tydzień 3: Start.</w:t>
      </w:r>
      <w:r>
        <w:rPr>
          <w:rFonts w:ascii="Arial" w:hAnsi="Arial" w:eastAsia="Arial"/>
          <w:b w:val="0"/>
        </w:rPr>
        <w:t xml:space="preserve"> Opublikuj materiały. Rozpowszechnij w odpowiednich kanałach. Angażuj: odpowiadaj na komentarze, zachęcaj do udostępniania, oznaczaj lokalne media i instytucje.</w:t>
      </w:r>
    </w:p>
    <w:p>
      <w:r>
        <w:rPr>
          <w:rFonts w:ascii="Arial" w:hAnsi="Arial" w:eastAsia="Arial"/>
          <w:b/>
        </w:rPr>
        <w:t>Tydzień 4: Mierzenie i podsumowanie.</w:t>
      </w:r>
      <w:r>
        <w:rPr>
          <w:rFonts w:ascii="Arial" w:hAnsi="Arial" w:eastAsia="Arial"/>
          <w:b w:val="0"/>
        </w:rPr>
        <w:t xml:space="preserve"> Sprawdź wskaźniki: ile osób dotarła kampania? Ile podjęło działanie (podpisało, zgłosiło, zmieniło zachowanie)? Co zadziałało? Co nie? Opublikuj podsumowanie — transparentność buduje wiarygodność.</w:t>
      </w:r>
    </w:p>
    <w:p>
      <w:pPr>
        <w:pStyle w:val="Heading1"/>
      </w:pPr>
      <w:r>
        <w:t>7. Mierzenie efektów — zasięg to nie sukces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„7. Mierzenie efektów — zasięg to nie sukces”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Najczęstszy błąd kampanii online: utożsamianie zasięgu z sukcesem. 10 000 wyświetleń posta to nie sukces — to zasięg. Sukces to zmiana zachowania.</w:t>
      </w:r>
    </w:p>
    <w:p>
      <w:r>
        <w:rPr>
          <w:rFonts w:ascii="Arial" w:hAnsi="Arial" w:eastAsia="Arial"/>
          <w:b/>
        </w:rPr>
        <w:t>Wskaźniki zasięgu (output):</w:t>
      </w:r>
      <w:r>
        <w:rPr>
          <w:rFonts w:ascii="Arial" w:hAnsi="Arial" w:eastAsia="Arial"/>
          <w:b w:val="0"/>
        </w:rPr>
        <w:t xml:space="preserve"> wyświetlenia, lajki, udostępnienia, komentarze. Mówią, ile osób WIDZIAŁO kampanię.</w:t>
      </w:r>
    </w:p>
    <w:p>
      <w:r>
        <w:rPr>
          <w:rFonts w:ascii="Arial" w:hAnsi="Arial" w:eastAsia="Arial"/>
          <w:b/>
        </w:rPr>
        <w:t>Wskaźniki zaangażowania (outcome):</w:t>
      </w:r>
      <w:r>
        <w:rPr>
          <w:rFonts w:ascii="Arial" w:hAnsi="Arial" w:eastAsia="Arial"/>
          <w:b w:val="0"/>
        </w:rPr>
        <w:t xml:space="preserve"> kliknięcia w link, podpisy pod petycją, zgłoszenia, udział w ankiecie. Mówią, ile osób ZAREAGOWAŁO.</w:t>
      </w:r>
    </w:p>
    <w:p>
      <w:r>
        <w:rPr>
          <w:rFonts w:ascii="Arial" w:hAnsi="Arial" w:eastAsia="Arial"/>
          <w:b/>
        </w:rPr>
        <w:t>Wskaźniki zmiany (impact):</w:t>
      </w:r>
      <w:r>
        <w:rPr>
          <w:rFonts w:ascii="Arial" w:hAnsi="Arial" w:eastAsia="Arial"/>
          <w:b w:val="0"/>
        </w:rPr>
        <w:t xml:space="preserve"> zmiana zachowania mierzona przed i po kampanii (audyt koszy, dane o zgłoszeniach, wyniki ankiety). Mówią, ile osób ZMIENIŁO ZACHOWANIE.</w:t>
      </w:r>
    </w:p>
    <w:p>
      <w:r>
        <w:rPr>
          <w:rFonts w:ascii="Arial" w:hAnsi="Arial" w:eastAsia="Arial"/>
          <w:b w:val="0"/>
        </w:rPr>
        <w:t>Prawdziwa kampania mierzy impact, nie output. Liczba lajków to metryka próżności — liczba zmienionych zachowań to metryka sukcesu.</w:t>
      </w:r>
    </w:p>
    <w:p>
      <w:pPr>
        <w:pStyle w:val="Heading1"/>
      </w:pPr>
      <w:r>
        <w:t>8. Od kampanii online do działania offline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„8. Od kampanii online do działania offline”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Najskuteczniejsze kampanie ekologiczne łączą działanie online z offline. Post na Instagramie buduje świadomość — ale to spotkanie z sąsiadami, udział w konsultacjach społecznych czy zgłoszenie w aplikacji miejskiej prowadzi do realnej zmiany.</w:t>
      </w:r>
    </w:p>
    <w:p>
      <w:r>
        <w:rPr>
          <w:rFonts w:ascii="Arial" w:hAnsi="Arial" w:eastAsia="Arial"/>
          <w:b/>
        </w:rPr>
        <w:t>Online → Offline:</w:t>
      </w:r>
      <w:r>
        <w:rPr>
          <w:rFonts w:ascii="Arial" w:hAnsi="Arial" w:eastAsia="Arial"/>
          <w:b w:val="0"/>
        </w:rPr>
        <w:t xml:space="preserve"> Post informujący o kopciuchach → link do formularza zgłoszeniowego → zgłoszenie w urzędzie → kontrola → likwidacja kopciucha. Post o konsultacjach społecznych → link do formularza konsultacyjnego → opinia mieszkańca → decyzja urzędu uwzględniająca opinię.</w:t>
      </w:r>
    </w:p>
    <w:p>
      <w:r>
        <w:rPr>
          <w:rFonts w:ascii="Arial" w:hAnsi="Arial" w:eastAsia="Arial"/>
          <w:b/>
        </w:rPr>
        <w:t>Offline → Online:</w:t>
      </w:r>
      <w:r>
        <w:rPr>
          <w:rFonts w:ascii="Arial" w:hAnsi="Arial" w:eastAsia="Arial"/>
          <w:b w:val="0"/>
        </w:rPr>
        <w:t xml:space="preserve"> Sprzątanie osiedla → zdjęcia przed/po na Instagramie → kolejni ludzie dołączają → efekt naśladowania. Spotkanie z radnym → relacja na Facebooku → presja społeczna na kolejne działania.</w:t>
      </w:r>
    </w:p>
    <w:p>
      <w:r>
        <w:rPr>
          <w:rFonts w:ascii="Arial" w:hAnsi="Arial" w:eastAsia="Arial"/>
          <w:b w:val="0"/>
        </w:rPr>
        <w:t>Kampania, która działa TYLKO online, ryzykuje pozostanie slacktivismem. Kampania, która łączy online z offline, zamienia kliknięcia w konkrety.</w:t>
      </w:r>
    </w:p>
    <w:p>
      <w:pPr>
        <w:pStyle w:val="Heading1"/>
      </w:pPr>
      <w:r>
        <w:t>Przydatne zasoby</w:t>
      </w:r>
    </w:p>
    <w:p>
      <w:pPr>
        <w:pStyle w:val="ListBullet"/>
      </w:pPr>
      <w:r>
        <w:rPr>
          <w:rFonts w:ascii="Arial" w:hAnsi="Arial" w:eastAsia="Arial"/>
          <w:b/>
        </w:rPr>
        <w:t>Canva</w:t>
      </w:r>
      <w:r>
        <w:rPr>
          <w:rFonts w:ascii="Arial" w:hAnsi="Arial" w:eastAsia="Arial"/>
          <w:b w:val="0"/>
        </w:rPr>
        <w:t xml:space="preserve"> (canva.com) — darmowy design</w:t>
      </w:r>
    </w:p>
    <w:p>
      <w:pPr>
        <w:pStyle w:val="ListBullet"/>
      </w:pPr>
      <w:r>
        <w:rPr>
          <w:rFonts w:ascii="Arial" w:hAnsi="Arial" w:eastAsia="Arial"/>
          <w:b/>
        </w:rPr>
        <w:t>CapCut</w:t>
      </w:r>
      <w:r>
        <w:rPr>
          <w:rFonts w:ascii="Arial" w:hAnsi="Arial" w:eastAsia="Arial"/>
          <w:b w:val="0"/>
        </w:rPr>
        <w:t xml:space="preserve"> — montaż wideo</w:t>
      </w:r>
    </w:p>
    <w:p>
      <w:pPr>
        <w:pStyle w:val="ListBullet"/>
      </w:pPr>
      <w:r>
        <w:rPr>
          <w:rFonts w:ascii="Arial" w:hAnsi="Arial" w:eastAsia="Arial"/>
          <w:b/>
        </w:rPr>
        <w:t>Google Forms</w:t>
      </w:r>
      <w:r>
        <w:rPr>
          <w:rFonts w:ascii="Arial" w:hAnsi="Arial" w:eastAsia="Arial"/>
          <w:b w:val="0"/>
        </w:rPr>
        <w:t xml:space="preserve"> — ankiety</w:t>
      </w:r>
    </w:p>
    <w:p>
      <w:pPr>
        <w:pStyle w:val="ListBullet"/>
      </w:pPr>
      <w:r>
        <w:rPr>
          <w:rFonts w:ascii="Arial" w:hAnsi="Arial" w:eastAsia="Arial"/>
          <w:b/>
        </w:rPr>
        <w:t>SmogLab.pl</w:t>
      </w:r>
      <w:r>
        <w:rPr>
          <w:rFonts w:ascii="Arial" w:hAnsi="Arial" w:eastAsia="Arial"/>
          <w:b w:val="0"/>
        </w:rPr>
        <w:t xml:space="preserve"> — dane o jakości powietrza</w:t>
      </w:r>
    </w:p>
    <w:p>
      <w:pPr>
        <w:pStyle w:val="ListBullet"/>
      </w:pPr>
      <w:r>
        <w:rPr>
          <w:rFonts w:ascii="Arial" w:hAnsi="Arial" w:eastAsia="Arial"/>
          <w:b/>
        </w:rPr>
        <w:t>halo!Rybnik</w:t>
      </w:r>
      <w:r>
        <w:rPr>
          <w:rFonts w:ascii="Arial" w:hAnsi="Arial" w:eastAsia="Arial"/>
          <w:b w:val="0"/>
        </w:rPr>
        <w:t xml:space="preserve"> i analogiczne aplikacje — zgłaszanie problemów</w:t>
      </w:r>
    </w:p>
    <w:p>
      <w:pPr>
        <w:pStyle w:val="ListBullet"/>
      </w:pPr>
      <w:r>
        <w:rPr>
          <w:rFonts w:ascii="Arial" w:hAnsi="Arial" w:eastAsia="Arial"/>
          <w:b/>
        </w:rPr>
        <w:t>Ustawa o petycjach</w:t>
      </w:r>
      <w:r>
        <w:rPr>
          <w:rFonts w:ascii="Arial" w:hAnsi="Arial" w:eastAsia="Arial"/>
          <w:b w:val="0"/>
        </w:rPr>
        <w:t xml:space="preserve"> — podstawa prawna do składania petycji</w:t>
      </w:r>
    </w:p>
    <w:p>
      <w:r>
        <w:rPr>
          <w:rFonts w:ascii="Arial" w:hAnsi="Arial" w:eastAsia="Arial"/>
          <w:b w:val="0"/>
        </w:rPr>
        <w:t>*Opracowanie przygotowane w ramach projektu MFO 2.0 — warsztaty kompetencji cyfrowych i obywatelskich dla młodzieży subregionu rybnickiego.*</w:t>
      </w:r>
    </w:p>
    <w:p>
      <w:pPr>
        <w:shd w:fill="E7F6F6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Pytanie po lekturze części głównej</w:t>
      </w:r>
    </w:p>
    <w:p>
      <w:pPr>
        <w:shd w:fill="E7F6F6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Wybierz jeden fragment, który można od razu zamienić w działanie. Co zrobisz inaczej po tej lekcji?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Jakie zachowanie ma się zmienić, u kogo i do kiedy?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Co blokuje odbiorcę przed zmianą?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Jaki miernik pokaże efekt, a nie tylko popularność posta?</w:t>
      </w:r>
    </w:p>
    <w:p/>
    <w:p>
      <w:r>
        <w:br w:type="page"/>
      </w:r>
    </w:p>
    <w:p>
      <w:pPr>
        <w:pStyle w:val="Heading1"/>
      </w:pPr>
      <w:r>
        <w:t>Część ćwiczeniowa</w:t>
      </w:r>
    </w:p>
    <w:p>
      <w:pPr>
        <w:pStyle w:val="Heading2"/>
      </w:pPr>
      <w:r>
        <w:t>Scenariusz pracy 90 minut</w:t>
      </w:r>
    </w:p>
    <w:tbl>
      <w:tblPr>
        <w:tblW w:type="dxa" w:w="9860"/>
        <w:jc w:val="center"/>
        <w:tblLook w:firstColumn="1" w:firstRow="1" w:lastColumn="0" w:lastRow="0" w:noHBand="0" w:noVBand="1" w:val="04A0"/>
        <w:tblLayout w:type="fixed"/>
      </w:tblPr>
      <w:tblGrid>
        <w:gridCol w:w="3307"/>
        <w:gridCol w:w="3307"/>
        <w:gridCol w:w="3307"/>
      </w:tblGrid>
      <w:tr>
        <w:trPr>
          <w:tblHeader/>
        </w:trPr>
        <w:tc>
          <w:tcPr>
            <w:tcW w:type="dxa" w:w="1500"/>
            <w:tcMar>
              <w:top w:w="110" w:type="dxa"/>
              <w:start w:w="140" w:type="dxa"/>
              <w:bottom w:w="95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8"/>
              </w:rPr>
              <w:t>Czas</w:t>
            </w:r>
          </w:p>
        </w:tc>
        <w:tc>
          <w:tcPr>
            <w:tcW w:type="dxa" w:w="2300"/>
            <w:tcMar>
              <w:top w:w="110" w:type="dxa"/>
              <w:start w:w="140" w:type="dxa"/>
              <w:bottom w:w="95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8"/>
              </w:rPr>
              <w:t>Etap</w:t>
            </w:r>
          </w:p>
        </w:tc>
        <w:tc>
          <w:tcPr>
            <w:tcW w:type="dxa" w:w="6060"/>
            <w:tcMar>
              <w:top w:w="110" w:type="dxa"/>
              <w:start w:w="140" w:type="dxa"/>
              <w:bottom w:w="95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8"/>
              </w:rPr>
              <w:t>Co się dzieje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0-10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Start i diagnoza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Krótka rozmowa: co uczestnicy już wiedzą, czego się obawiają i gdzie spotykają temat w praktyce.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10-30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Pojęcia i przykłady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Praca z częścią główną podręcznika: definicje, pierwszy przykład, wspólne doprecyzowanie pojęć.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30-55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Analiza przypadku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Małe grupy wybierają przykład i sprawdzają go przez pytania z checklisty.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55-75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Projekt działania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Uczestnicy tworzą mini-rozwiązanie: komunikat, plan reakcji, kartę weryfikacji albo szkic kampanii.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75-90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Podsumowanie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Każda grupa pokazuje jeden wniosek, jedno ryzyko i jeden następny krok po zajęciach.</w:t>
            </w:r>
          </w:p>
        </w:tc>
      </w:tr>
    </w:tbl>
    <w:p>
      <w:pPr>
        <w:shd w:fill="E7F6F6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Ćwiczenie prowadzone</w:t>
      </w:r>
    </w:p>
    <w:p>
      <w:pPr>
        <w:shd w:fill="E7F6F6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Wykonaj je indywidualnie albo w małej grupie. Celem nie jest perfekcyjna odpowiedź, tylko przejście przez cały proces myślenia.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Wybierz jeden ekologiczny problem w swoim otoczeniu.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cel SMART na najbliższy miesiąc.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Opisz personę: motywacje, bariery, kanały komunikacji.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Napisz komunikat i CTA w maksymalnie 15 słowach.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Wskaż miernik sukcesu i sposób zebrania danych.</w:t>
      </w:r>
    </w:p>
    <w:p/>
    <w:p>
      <w:pPr>
        <w:pStyle w:val="Heading2"/>
      </w:pPr>
      <w:r>
        <w:t>Projekt końcowy</w:t>
      </w:r>
    </w:p>
    <w:p>
      <w:pPr>
        <w:spacing w:before="0" w:after="160" w:line="283" w:lineRule="auto"/>
      </w:pPr>
      <w:r>
        <w:t>Zaprojektuj kompletną mikro-kampanię ekologiczną: diagnoza, cel, persona, komunikat, kanały, materiały i pomiar efektu.</w:t>
      </w:r>
    </w:p>
    <w:p>
      <w:pPr>
        <w:pStyle w:val="Heading2"/>
      </w:pPr>
      <w:r>
        <w:t>Rubryka oceny pracy</w:t>
      </w:r>
    </w:p>
    <w:tbl>
      <w:tblPr>
        <w:tblW w:type="dxa" w:w="9860"/>
        <w:jc w:val="center"/>
        <w:tblLook w:firstColumn="1" w:firstRow="1" w:lastColumn="0" w:lastRow="0" w:noHBand="0" w:noVBand="1" w:val="04A0"/>
        <w:tblLayout w:type="fixed"/>
      </w:tblPr>
      <w:tblGrid>
        <w:gridCol w:w="2480"/>
        <w:gridCol w:w="2480"/>
        <w:gridCol w:w="2480"/>
        <w:gridCol w:w="2480"/>
      </w:tblGrid>
      <w:tr>
        <w:trPr>
          <w:tblHeader/>
        </w:trPr>
        <w:tc>
          <w:tcPr>
            <w:tcW w:type="dxa" w:w="210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Kryterium</w:t>
            </w:r>
          </w:p>
        </w:tc>
        <w:tc>
          <w:tcPr>
            <w:tcW w:type="dxa" w:w="252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Do poprawy</w:t>
            </w:r>
          </w:p>
        </w:tc>
        <w:tc>
          <w:tcPr>
            <w:tcW w:type="dxa" w:w="262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Dobrze</w:t>
            </w:r>
          </w:p>
        </w:tc>
        <w:tc>
          <w:tcPr>
            <w:tcW w:type="dxa" w:w="262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Bardzo dobrze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Rozumienie pojęć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definicje są mylone lub używane przypadkowo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pojęcia są użyte poprawnie w większości przykładów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pojęcia są użyte precyzyjnie i pomagają wyjaśnić problem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Praca ze źródłami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brakuje źródeł albo są niejasne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źródła są wskazane i częściowo porównane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źródła są dobrane świadomie, porównane i ocenione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Zastosowanie w praktyce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wniosek jest ogólny i trudny do wykonania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wniosek wskazuje możliwe działanie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wniosek prowadzi do konkretnego, mierzalnego kroku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Współpraca i komunikacja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wypowiedź jest chaotyczna lub jednostronna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grupa przedstawia stanowisko i słucha pytań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grupa jasno pokazuje proces, decyzje i ograniczenia</w:t>
            </w:r>
          </w:p>
        </w:tc>
      </w:tr>
    </w:tbl>
    <w:p>
      <w:r>
        <w:br w:type="page"/>
      </w:r>
    </w:p>
    <w:p>
      <w:pPr>
        <w:pStyle w:val="Heading2"/>
      </w:pPr>
      <w:r>
        <w:t>Plan wdrożenia po zajęciach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Następne 7 dni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Podręcznik ma prowadzić do działania. Po zajęciach wybierzcie mały krok, który można wykonać bez dużego budżetu i bez czekania na idealne warunki.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1: wybierzcie jeden problem związany z tematem „Eko-aktywizacja online”.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2: zbierzcie jeden przykład, jedną daną i jedną opinię osoby zainteresowanej.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3: przygotujcie wersję roboczą rozwiązania lub komunikatu.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4-5: pokażcie wersję roboczą dwóm osobom i zbierzcie uwagi.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6-7: poprawcie materiał i zdecydujcie, gdzie zostanie wykorzystany.</w:t>
      </w:r>
    </w:p>
    <w:p/>
    <w:p>
      <w:pPr>
        <w:pStyle w:val="Heading2"/>
      </w:pPr>
      <w:r>
        <w:t>Checklista przed oddaniem pracy</w:t>
      </w:r>
    </w:p>
    <w:p>
      <w:pPr>
        <w:pStyle w:val="ListBullet"/>
      </w:pPr>
      <w:r>
        <w:rPr>
          <w:rFonts w:ascii="Arial" w:hAnsi="Arial" w:eastAsia="Arial"/>
          <w:b w:val="0"/>
        </w:rPr>
        <w:t>zawęź kampanię do jednego zachowania</w:t>
      </w:r>
    </w:p>
    <w:p>
      <w:pPr>
        <w:pStyle w:val="ListBullet"/>
      </w:pPr>
      <w:r>
        <w:rPr>
          <w:rFonts w:ascii="Arial" w:hAnsi="Arial" w:eastAsia="Arial"/>
          <w:b w:val="0"/>
        </w:rPr>
        <w:t>opisz odbiorcę konkretniej niż 'wszyscy'</w:t>
      </w:r>
    </w:p>
    <w:p>
      <w:pPr>
        <w:pStyle w:val="ListBullet"/>
      </w:pPr>
      <w:r>
        <w:rPr>
          <w:rFonts w:ascii="Arial" w:hAnsi="Arial" w:eastAsia="Arial"/>
          <w:b w:val="0"/>
        </w:rPr>
        <w:t>stwórz jedno zdanie komunikatu i jedno CTA</w:t>
      </w:r>
    </w:p>
    <w:p>
      <w:pPr>
        <w:pStyle w:val="ListBullet"/>
      </w:pPr>
      <w:r>
        <w:rPr>
          <w:rFonts w:ascii="Arial" w:hAnsi="Arial" w:eastAsia="Arial"/>
          <w:b w:val="0"/>
        </w:rPr>
        <w:t>wybierz kanał obecny w życiu odbiorcy</w:t>
      </w:r>
    </w:p>
    <w:p>
      <w:pPr>
        <w:pStyle w:val="ListBullet"/>
      </w:pPr>
      <w:r>
        <w:rPr>
          <w:rFonts w:ascii="Arial" w:hAnsi="Arial" w:eastAsia="Arial"/>
          <w:b w:val="0"/>
        </w:rPr>
        <w:t>zaplanuj pomiar przed i po kampanii</w:t>
      </w:r>
    </w:p>
    <w:p>
      <w:pPr>
        <w:pStyle w:val="Heading2"/>
      </w:pPr>
      <w:r>
        <w:t>Pytania do rozmowy</w:t>
      </w:r>
    </w:p>
    <w:p>
      <w:pPr>
        <w:pStyle w:val="ListNumber"/>
      </w:pPr>
      <w:r>
        <w:rPr>
          <w:rFonts w:ascii="Arial" w:hAnsi="Arial" w:eastAsia="Arial"/>
          <w:b w:val="0"/>
        </w:rPr>
        <w:t>Jakie zachowanie ma się zmienić, u kogo i do kiedy?</w:t>
      </w:r>
    </w:p>
    <w:p>
      <w:pPr>
        <w:pStyle w:val="ListNumber"/>
      </w:pPr>
      <w:r>
        <w:rPr>
          <w:rFonts w:ascii="Arial" w:hAnsi="Arial" w:eastAsia="Arial"/>
          <w:b w:val="0"/>
        </w:rPr>
        <w:t>Co blokuje odbiorcę przed zmianą?</w:t>
      </w:r>
    </w:p>
    <w:p>
      <w:pPr>
        <w:pStyle w:val="ListNumber"/>
      </w:pPr>
      <w:r>
        <w:rPr>
          <w:rFonts w:ascii="Arial" w:hAnsi="Arial" w:eastAsia="Arial"/>
          <w:b w:val="0"/>
        </w:rPr>
        <w:t>Jaki miernik pokaże efekt, a nie tylko popularność posta?</w:t>
      </w:r>
    </w:p>
    <w:p>
      <w:pPr>
        <w:pStyle w:val="Heading2"/>
      </w:pPr>
      <w:r>
        <w:t>Miejsce na notatki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pStyle w:val="Heading1"/>
      </w:pPr>
      <w:r>
        <w:t>Zakończenie</w:t>
      </w:r>
    </w:p>
    <w:p>
      <w:pPr>
        <w:spacing w:before="0" w:after="120" w:line="283" w:lineRule="auto"/>
      </w:pPr>
      <w:r>
        <w:t>Najważniejszym efektem pracy z podręcznikiem nie jest zapamiętanie wszystkich pojęć, lecz umiejętność użycia ich w realnej sytuacji: w rozmowie, w internecie, w klasie, w projekcie społecznym albo w działaniu lokalnym.</w:t>
      </w:r>
    </w:p>
    <w:p>
      <w:pPr>
        <w:spacing w:before="0" w:after="120" w:line="283" w:lineRule="auto"/>
      </w:pPr>
      <w:r>
        <w:t>Wróć do checklisty po kilku dniach. Jeśli potrafisz wykonać większość punktów bez zaglądania do materiału, ten moduł spełnił swoje zadanie.</w:t>
      </w:r>
    </w:p>
    <w:sectPr w:rsidR="00FC693F" w:rsidRPr="0006063C" w:rsidSect="00034616">
      <w:headerReference w:type="default" r:id="rId12"/>
      <w:footerReference w:type="default" r:id="rId13"/>
      <w:pgSz w:w="11906" w:h="16838"/>
      <w:pgMar w:top="935" w:right="992" w:bottom="992" w:left="992" w:header="465" w:footer="46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jc w:val="center"/>
    </w:pPr>
    <w:r>
      <w:rPr>
        <w:rFonts w:ascii="Arial" w:hAnsi="Arial" w:eastAsia="Arial"/>
        <w:color w:val="5D6B7F"/>
        <w:sz w:val="16"/>
      </w:rPr>
      <w:t xml:space="preserve">MFO 2.0 | </w:t>
    </w:r>
    <w:r>
      <w:rPr>
        <w:rFonts w:ascii="Arial" w:hAnsi="Arial" w:eastAsia="Arial"/>
        <w:color w:val="5D6B7F"/>
        <w:sz w:val="16"/>
      </w:rPr>
      <w:t>Eko-aktywizacja online</w:t>
    </w:r>
    <w:r>
      <w:rPr>
        <w:rFonts w:ascii="Arial" w:hAnsi="Arial" w:eastAsia="Arial"/>
        <w:color w:val="5D6B7F"/>
        <w:sz w:val="16"/>
      </w:rPr>
      <w:t xml:space="preserve"> | strona </w:t>
    </w:r>
    <w: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pBdr>
        <w:bottom w:val="single" w:sz="4" w:space="3" w:color="D8E1E8"/>
      </w:pBdr>
    </w:pPr>
    <w:r>
      <w:drawing>
        <wp:inline xmlns:a="http://schemas.openxmlformats.org/drawingml/2006/main" xmlns:pic="http://schemas.openxmlformats.org/drawingml/2006/picture">
          <wp:extent cx="198000" cy="198000"/>
          <wp:docPr id="1" name="Picture 1" title="Logo MFO 2.0" descr="Czarne jednokolorowe logo projektu Młodzieżowe Forum Obywatelskie 2.0.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mfo-logo-blac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8000" cy="198000"/>
                  </a:xfrm>
                  <a:prstGeom prst="rect"/>
                </pic:spPr>
              </pic:pic>
            </a:graphicData>
          </a:graphic>
        </wp:inline>
      </w:drawing>
    </w:r>
    <w:r>
      <w:t xml:space="preserve">  </w:t>
    </w:r>
    <w:r>
      <w:rPr>
        <w:rFonts w:ascii="Arial" w:hAnsi="Arial" w:eastAsia="Arial"/>
        <w:b/>
        <w:color w:val="5D6B7F"/>
        <w:sz w:val="16"/>
      </w:rPr>
      <w:t xml:space="preserve">MFO 2.0 | Demokracja w erze cyfrowej   </w:t>
    </w:r>
    <w:r>
      <w:rPr>
        <w:rFonts w:ascii="Arial" w:hAnsi="Arial" w:eastAsia="Arial"/>
        <w:color w:val="056B72"/>
        <w:sz w:val="16"/>
      </w:rPr>
      <w:t>Eko-aktywizacja online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Arial" w:hAnsi="Arial"/>
      <w:color w:val="10233E"/>
      <w:sz w:val="21"/>
      <w:lang w:val="pl-PL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pl-P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lang w:val="pl-P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pl-P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5295F"/>
      <w:sz w:val="36"/>
      <w:szCs w:val="28"/>
      <w:lang w:val="pl-P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56B72"/>
      <w:sz w:val="28"/>
      <w:szCs w:val="26"/>
      <w:lang w:val="pl-P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0233E"/>
      <w:sz w:val="24"/>
      <w:lang w:val="pl-P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pl-P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pl-P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pl-P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l-PL"/>
    </w:rPr>
  </w:style>
  <w:style w:type="character" w:default="1" w:styleId="DefaultParagraphFont">
    <w:name w:val="Default Paragraph Font"/>
    <w:uiPriority w:val="1"/>
    <w:semiHidden/>
    <w:unhideWhenUsed/>
    <w:rPr>
      <w:lang w:val="pl-PL"/>
    </w:rPr>
  </w:style>
  <w:style w:type="table" w:default="1" w:styleId="TableNormal">
    <w:name w:val="Normal Table"/>
    <w:uiPriority w:val="99"/>
    <w:semiHidden/>
    <w:unhideWhenUsed/>
    <w:rPr>
      <w:lang w:val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Pr>
      <w:lang w:val="pl-PL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lang w:val="pl-P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pl-PL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lang w:val="pl-P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lang w:val="pl-P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lang w:val="pl-P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lang w:val="pl-P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lang w:val="pl-P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pl-PL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lang w:val="pl-P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lang w:val="pl-P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lang w:val="pl-P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74" w:lineRule="auto"/>
      <w:ind w:left="369" w:hanging="142"/>
      <w:contextualSpacing/>
    </w:pPr>
    <w:rPr>
      <w:rFonts w:ascii="Arial" w:hAnsi="Arial"/>
      <w:color w:val="10233E"/>
      <w:sz w:val="20"/>
      <w:lang w:val="pl-P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lang w:val="pl-P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lang w:val="pl-P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74" w:lineRule="auto"/>
      <w:ind w:left="369" w:hanging="142"/>
      <w:contextualSpacing/>
    </w:pPr>
    <w:rPr>
      <w:rFonts w:ascii="Arial" w:hAnsi="Arial"/>
      <w:color w:val="10233E"/>
      <w:sz w:val="20"/>
      <w:lang w:val="pl-P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lang w:val="pl-P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lang w:val="pl-P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lang w:val="pl-P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lang w:val="pl-P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lang w:val="pl-P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pl-PL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pl-PL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pl-PL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pl-P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pl-P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pl-P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pl-P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l-P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pl-PL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pl-PL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pl-P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pl-P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pl-PL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pl-PL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pl-PL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pl-PL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pl-PL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pl-PL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lang w:val="pl-P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lang w:val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eader" Target="header2.xml"/><Relationship Id="rId13" Type="http://schemas.openxmlformats.org/officeDocument/2006/relationships/footer" Target="footer2.xml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Podręcznik 07: Eko-aktywizacja online</dc:title>
  <dc:subject>Młodzieżowe Forum Obywatelskie 2.0 - podręcznik edukacyjny</dc:subject>
  <dc:creator>Młodzieżowe Forum Obywatelskie 2.0</dc:creator>
  <cp:keywords>MFO 2.0, edukacja obywatelska, WCAG 2.2 AA, podręcznik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