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6: Eko-aktywizm w internecie" descr="Pełnostronicowa okładka podręcznika 06: Eko-aktywizm w internecie. Podtytuł: Jak działać ekologicznie online bez ulegania dezinformacji. Ten podręcznik łączy aktywizm środowiskowy z krytycznym myśleniem: jak odróżniać dane od ekościemy i mobilizować ludzi do działania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6-eko-aktywizm-w-interneci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06</w:t>
      </w:r>
    </w:p>
    <w:p>
      <w:pPr>
        <w:pStyle w:val="Heading1"/>
        <w:spacing w:before="0"/>
      </w:pPr>
      <w:r>
        <w:t>Eko-aktywizm w internecie</w:t>
      </w:r>
    </w:p>
    <w:p>
      <w:pPr>
        <w:spacing w:before="0" w:after="120" w:line="283" w:lineRule="auto"/>
      </w:pPr>
      <w:r>
        <w:t>Jak działać ekologicznie online bez ulegania dezinformacji</w:t>
      </w:r>
    </w:p>
    <w:p>
      <w:pPr>
        <w:spacing w:before="0" w:after="200" w:line="283" w:lineRule="auto"/>
      </w:pPr>
      <w:r>
        <w:t>Ten podręcznik łączy aktywizm środowiskowy z krytycznym myśleniem: jak odróżniać dane od ekościemy i mobilizować ludzi do działania.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06 | Eko-aktywizm w internecie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Schemat skutecznego eko-aktywizmu: dane → komunikat → presja → zmiana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Greenwashing — ekościema pod lupą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Dezinformacja klimatyczna — kłamstwa, które blokują zmianę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Slacktivism — poczucie działania bez działania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Polaryzacja ekologiczna — poza podziałem „eko-szaleniec" vs „dinozaur"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Transformacja energetyczna na Śląsku — co się dzieje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Narzędzia eko-detektywa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8. Co możesz zrobić — praktyczny przewodnik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Przydatne zasoby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łączy aktywizm środowiskowy z krytycznym myśleniem: jak odróżniać dane od ekościemy i mobilizować ludzi do działania.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rozpoznawać greenwashing i dezinformację klimatyczną</w:t>
      </w:r>
    </w:p>
    <w:p>
      <w:pPr>
        <w:pStyle w:val="ListBullet"/>
      </w:pPr>
      <w:r>
        <w:rPr>
          <w:rFonts w:ascii="Arial" w:hAnsi="Arial" w:eastAsia="Arial"/>
          <w:b w:val="0"/>
        </w:rPr>
        <w:t>sprawdzać ekologiczne deklaracje firm i instytucji</w:t>
      </w:r>
    </w:p>
    <w:p>
      <w:pPr>
        <w:pStyle w:val="ListBullet"/>
      </w:pPr>
      <w:r>
        <w:rPr>
          <w:rFonts w:ascii="Arial" w:hAnsi="Arial" w:eastAsia="Arial"/>
          <w:b w:val="0"/>
        </w:rPr>
        <w:t>unikać slacktivismu, który zastępuje realne działanie</w:t>
      </w:r>
    </w:p>
    <w:p>
      <w:pPr>
        <w:pStyle w:val="ListBullet"/>
      </w:pPr>
      <w:r>
        <w:rPr>
          <w:rFonts w:ascii="Arial" w:hAnsi="Arial" w:eastAsia="Arial"/>
          <w:b w:val="0"/>
        </w:rPr>
        <w:t>planować mały, konkretny krok aktywistyczny</w:t>
      </w:r>
    </w:p>
    <w:p>
      <w:pPr>
        <w:pStyle w:val="ListBullet"/>
      </w:pPr>
      <w:r>
        <w:rPr>
          <w:rFonts w:ascii="Arial" w:hAnsi="Arial" w:eastAsia="Arial"/>
          <w:b w:val="0"/>
        </w:rPr>
        <w:t>łączyć komunikację online z działaniem lokalnym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Greenwashing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tworzenie fałszywego wrażenia ekologiczności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Dezinformacja klimatyczna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fałszywe lub mylące informacje o klimacie i rozwiązaniach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Slacktivism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symboliczna aktywność online, która nie prowadzi do realnego efektu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Certyfikat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zewnętrzne potwierdzenie spełnienia określonych standardów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Działanie lokalne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konkretny krok w społeczności, miejscu lub instytucji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Śląsk to miejsce, w którym ekologia i gospodarka zderzają się na co dzień. Kopalnie, huty, ciepłownie — ale też czujniki jakości powietrza, alarmy smogowe i jeden z największych programów likwidacji kopciuchów w Europie. To region, który zna obie strony debaty ekologicznej z pierwszej ręki.</w:t>
      </w:r>
    </w:p>
    <w:p>
      <w:r>
        <w:rPr>
          <w:rFonts w:ascii="Arial" w:hAnsi="Arial" w:eastAsia="Arial"/>
          <w:b w:val="0"/>
        </w:rPr>
        <w:t>Internet dał eko-aktywizmowi niespotykaną dotąd siłę: możliwość zbierania danych, docierania do tysięcy ludzi i organizowania presji społecznej bez budżetu, biura czy formalnej organizacji. Jednocześnie dał narzędzia firmom, które udają ekologię (greenwashing) i grupom, które celowo szerzą dezinformację klimatyczną.</w:t>
      </w:r>
    </w:p>
    <w:p>
      <w:r>
        <w:rPr>
          <w:rFonts w:ascii="Arial" w:hAnsi="Arial" w:eastAsia="Arial"/>
          <w:b w:val="0"/>
        </w:rPr>
        <w:t>Ten podręcznik uczy rozróżniać te trzy zjawiska — i pokazuje, jak prawdziwy eko-aktywizm online prowadzi do realnej zmiany.</w:t>
      </w:r>
    </w:p>
    <w:p>
      <w:pPr>
        <w:pStyle w:val="Heading1"/>
      </w:pPr>
      <w:r>
        <w:t>1. Schemat skutecznego eko-aktywizmu: dane → komunikat → presja → zmiana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Schemat skutecznego eko-aktywizmu: dane → komunikat → presja → zmiana”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Prawdziwy eko-aktywizm — ten, który faktycznie coś zmienia — opiera się na czteroetapowym schemacie:</w:t>
      </w:r>
    </w:p>
    <w:p>
      <w:r>
        <w:rPr>
          <w:rFonts w:ascii="Arial" w:hAnsi="Arial" w:eastAsia="Arial"/>
          <w:b/>
        </w:rPr>
        <w:t>DANE.</w:t>
      </w:r>
      <w:r>
        <w:rPr>
          <w:rFonts w:ascii="Arial" w:hAnsi="Arial" w:eastAsia="Arial"/>
          <w:b w:val="0"/>
        </w:rPr>
        <w:t xml:space="preserve"> Wszystko zaczyna się od danych. Nie od emocji, nie od opinii — od mierzalnych, weryfikowalnych informacji. Rybnicki Alarm Smogowy (RAS) zaczął od zamontowania czujników jakości powietrza. Dane z czujników były publiczne — każdy mógł sprawdzić, jak wygląda powietrze w jego dzielnicy. To nie była opinia „jest brudno" — to były konkretne liczby: stężenie PM10, PM2.5, liczba dni z przekroczeniem norm.</w:t>
      </w:r>
    </w:p>
    <w:p>
      <w:r>
        <w:rPr>
          <w:rFonts w:ascii="Arial" w:hAnsi="Arial" w:eastAsia="Arial"/>
          <w:b/>
        </w:rPr>
        <w:t>KOMUNIKAT.</w:t>
      </w:r>
      <w:r>
        <w:rPr>
          <w:rFonts w:ascii="Arial" w:hAnsi="Arial" w:eastAsia="Arial"/>
          <w:b w:val="0"/>
        </w:rPr>
        <w:t xml:space="preserve"> Same dane nie wystarczą — trzeba je przetłumaczyć na język zrozumiały dla ludzi, którzy nie czytają raportów naukowych. RAS robił to przez media społecznościowe, lokalne portale, ulotki. Komunikat był prosty i bezpośredni: „Twoje dziecko oddycha tym, co sąsiad spala w kotle."</w:t>
      </w:r>
    </w:p>
    <w:p>
      <w:r>
        <w:rPr>
          <w:rFonts w:ascii="Arial" w:hAnsi="Arial" w:eastAsia="Arial"/>
          <w:b/>
        </w:rPr>
        <w:t>PRESJA.</w:t>
      </w:r>
      <w:r>
        <w:rPr>
          <w:rFonts w:ascii="Arial" w:hAnsi="Arial" w:eastAsia="Arial"/>
          <w:b w:val="0"/>
        </w:rPr>
        <w:t xml:space="preserve"> Dane + komunikat tworzą presję społeczną na decydentów. RAS składał petycje, skargi, zawiadomienia do prokuratury, współpracował z mediami ogólnopolskimi. Presja nie musi być agresywna — może być systematyczna, konsekwentna i oparta na faktach.</w:t>
      </w:r>
    </w:p>
    <w:p>
      <w:r>
        <w:rPr>
          <w:rFonts w:ascii="Arial" w:hAnsi="Arial" w:eastAsia="Arial"/>
          <w:b/>
        </w:rPr>
        <w:t>ZMIANA.</w:t>
      </w:r>
      <w:r>
        <w:rPr>
          <w:rFonts w:ascii="Arial" w:hAnsi="Arial" w:eastAsia="Arial"/>
          <w:b w:val="0"/>
        </w:rPr>
        <w:t xml:space="preserve"> Efekt: uchwała antysmogowa w województwie śląskim, programy wymiany kopciuchów, ponad 5400 zlikwidowanych pieców w samym Rybniku, ponad 250 milionów złotych inwestycji w czyste ogrzewanie, spadek ze 100 do 16 dni smogowych rocznie. Polski Alarm Smogowy — którego RAS współtworzył — dotarł do finału nagrody Earthshot Prize, ekologicznego odpowiednika Nobla.</w:t>
      </w:r>
    </w:p>
    <w:p>
      <w:r>
        <w:rPr>
          <w:rFonts w:ascii="Arial" w:hAnsi="Arial" w:eastAsia="Arial"/>
          <w:b w:val="0"/>
        </w:rPr>
        <w:t>Ten schemat jest replikowalny. Raciborski Alarm Smogowy powtórzył model RAS. Inicjatywy w innych miastach — również. Klucz: dane jako fundament, nie emocje jako substytut.</w:t>
      </w:r>
    </w:p>
    <w:p>
      <w:pPr>
        <w:pStyle w:val="Heading1"/>
      </w:pPr>
      <w:r>
        <w:t>2. Greenwashing — ekościema pod lupą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Greenwashing — ekościema pod lupą”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Greenwashing (po polsku: ekościema, zielone mydlenie oczu) to praktyka polegająca na tworzeniu fałszywego wrażenia ekologiczności — przez firmy, marki, a czasem i polityków. Celem nie jest ochrona środowiska, lecz poprawa wizerunku lub zwiększenie sprzedaży.</w:t>
      </w:r>
    </w:p>
    <w:p>
      <w:r>
        <w:rPr>
          <w:rFonts w:ascii="Arial" w:hAnsi="Arial" w:eastAsia="Arial"/>
          <w:b/>
        </w:rPr>
        <w:t>Skala zjawiska.</w:t>
      </w:r>
      <w:r>
        <w:rPr>
          <w:rFonts w:ascii="Arial" w:hAnsi="Arial" w:eastAsia="Arial"/>
          <w:b w:val="0"/>
        </w:rPr>
        <w:t xml:space="preserve"> Badania wskazują, że około 70% polskich konsumentów wybiera produkty deklarowane jako „ekologiczne" bez weryfikacji tych deklaracji. To ogromny rynek dla firm, które chcą WYGLĄDAĆ ekologicznie, nie BĘDĄC ekologicznymi.</w:t>
      </w:r>
    </w:p>
    <w:p>
      <w:r>
        <w:rPr>
          <w:rFonts w:ascii="Arial" w:hAnsi="Arial" w:eastAsia="Arial"/>
          <w:b/>
        </w:rPr>
        <w:t>Pięć sygnałów greenwashingu:</w:t>
      </w:r>
    </w:p>
    <w:p>
      <w:r>
        <w:rPr>
          <w:rFonts w:ascii="Arial" w:hAnsi="Arial" w:eastAsia="Arial"/>
          <w:b/>
        </w:rPr>
        <w:t>Puste hasła.</w:t>
      </w:r>
      <w:r>
        <w:rPr>
          <w:rFonts w:ascii="Arial" w:hAnsi="Arial" w:eastAsia="Arial"/>
          <w:b w:val="0"/>
        </w:rPr>
        <w:t xml:space="preserve"> „Eco", „natural", „green", „przyjazny dla planety" — bez żadnych konkretnych danych. Ile CO₂ zaoszczędzili? Jaki certyfikat mają? Jakie standardy spełniają? Hasło bez danych to marketing, nie ekologia.</w:t>
      </w:r>
    </w:p>
    <w:p>
      <w:r>
        <w:rPr>
          <w:rFonts w:ascii="Arial" w:hAnsi="Arial" w:eastAsia="Arial"/>
          <w:b/>
        </w:rPr>
        <w:t>Ukryta prawda.</w:t>
      </w:r>
      <w:r>
        <w:rPr>
          <w:rFonts w:ascii="Arial" w:hAnsi="Arial" w:eastAsia="Arial"/>
          <w:b w:val="0"/>
        </w:rPr>
        <w:t xml:space="preserve"> Firma chwali się jednym „ekologicznym" produktem — kolekcją z recyklingu, opakowaniem z papieru — podczas gdy reszta produkcji jest równie brudna jak zawsze. Jeden ekologiczny produkt z 10 000 to nie transformacja — to dekoracja okna wystawowego.</w:t>
      </w:r>
    </w:p>
    <w:p>
      <w:r>
        <w:rPr>
          <w:rFonts w:ascii="Arial" w:hAnsi="Arial" w:eastAsia="Arial"/>
          <w:b/>
        </w:rPr>
        <w:t>Brak dowodów.</w:t>
      </w:r>
      <w:r>
        <w:rPr>
          <w:rFonts w:ascii="Arial" w:hAnsi="Arial" w:eastAsia="Arial"/>
          <w:b w:val="0"/>
        </w:rPr>
        <w:t xml:space="preserve"> „Nasze opakowanie jest w 100% z recyklingu" — ale nie podają certyfikatu, nie wskazują audytora, nie publikują danych. Prawdziwe firmy ekologiczne CHWALĄ SIĘ certyfikatami i audytami, bo to ich przewaga konkurencyjna. Brak dowodów = brak zaufania.</w:t>
      </w:r>
    </w:p>
    <w:p>
      <w:r>
        <w:rPr>
          <w:rFonts w:ascii="Arial" w:hAnsi="Arial" w:eastAsia="Arial"/>
          <w:b/>
        </w:rPr>
        <w:t>Mniejsze zło.</w:t>
      </w:r>
      <w:r>
        <w:rPr>
          <w:rFonts w:ascii="Arial" w:hAnsi="Arial" w:eastAsia="Arial"/>
          <w:b w:val="0"/>
        </w:rPr>
        <w:t xml:space="preserve"> „Ekologiczne papierosy w biodegradowalnym opakowaniu" — dalej papierosy. „Tańszy lot z offsetem CO₂" — dalej lot. Greenwashing mniejszego zła odwraca uwagę od fundamentalnego problemu.</w:t>
      </w:r>
    </w:p>
    <w:p>
      <w:r>
        <w:rPr>
          <w:rFonts w:ascii="Arial" w:hAnsi="Arial" w:eastAsia="Arial"/>
          <w:b/>
        </w:rPr>
        <w:t>Fałszywe certyfikaty.</w:t>
      </w:r>
      <w:r>
        <w:rPr>
          <w:rFonts w:ascii="Arial" w:hAnsi="Arial" w:eastAsia="Arial"/>
          <w:b w:val="0"/>
        </w:rPr>
        <w:t xml:space="preserve"> Logo, które wygląda oficjalnie, ale nikogo nie certyfikuje. Certyfikat, który firma przyznała sobie sama. Szukaj niezależnych, rozpoznawalnych certyfikatów (FSC dla drewna, EU Ecolabel, Fairtrade) — nie wymyślonych ikon z zieloną etykietą.</w:t>
      </w:r>
    </w:p>
    <w:p>
      <w:r>
        <w:rPr>
          <w:rFonts w:ascii="Arial" w:hAnsi="Arial" w:eastAsia="Arial"/>
          <w:b/>
        </w:rPr>
        <w:t>Prawo walczy z greenwashingiem.</w:t>
      </w:r>
      <w:r>
        <w:rPr>
          <w:rFonts w:ascii="Arial" w:hAnsi="Arial" w:eastAsia="Arial"/>
          <w:b w:val="0"/>
        </w:rPr>
        <w:t xml:space="preserve"> Dyrektywa UE ECD (Empowering Consumers for the Green Transition) z 2024 roku zakazuje pustych deklaracji ekologicznych i zobowiązuje firmy do potwierdzania twierdzeń ekologicznych niezależnymi certyfikatami. To oznacza, że w najbliższych latach firmy będą musiały albo przestać kłamać, albo ponosić konsekwencje prawne.</w:t>
      </w:r>
    </w:p>
    <w:p>
      <w:pPr>
        <w:pStyle w:val="Heading1"/>
      </w:pPr>
      <w:r>
        <w:t>3. Dezinformacja klimatyczna — kłamstwa, które blokują zmianę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Dezinformacja klimatyczna — kłamstwa, które blokują zmianę”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Dezinformacja klimatyczna to celowe rozpowszechnianie fałszywych lub wprowadzających w błąd informacji o zmianach klimatu, ich przyczynach i rozwiązaniach. Na Śląsku — w sercu transformacji energetycznej — temat ten jest szczególnie gorący.</w:t>
      </w:r>
    </w:p>
    <w:p>
      <w:r>
        <w:rPr>
          <w:rFonts w:ascii="Arial" w:hAnsi="Arial" w:eastAsia="Arial"/>
          <w:b/>
        </w:rPr>
        <w:t>Popularne narracje dezinformacyjne i fakty:</w:t>
      </w:r>
    </w:p>
    <w:p>
      <w:r>
        <w:rPr>
          <w:rFonts w:ascii="Arial" w:hAnsi="Arial" w:eastAsia="Arial"/>
          <w:b w:val="0"/>
        </w:rPr>
        <w:t>„Pompy ciepła nie działają w mrozy." To półprawda. Starsze modele pomp ciepła traciły wydajność w bardzo niskich temperaturach. Nowoczesne pompy ciepła typu powietrze-woda działają wydajnie do -25°C, co potwierdzają certyfikaty i testy w krajach skandynawskich, gdzie zimy są surowsze niż w Polsce.</w:t>
      </w:r>
    </w:p>
    <w:p>
      <w:r>
        <w:rPr>
          <w:rFonts w:ascii="Arial" w:hAnsi="Arial" w:eastAsia="Arial"/>
          <w:b w:val="0"/>
        </w:rPr>
        <w:t>„Panele słoneczne zanieczyszczają bardziej niż węgiel." To fałsz, wielokrotnie obalony. Analiza cyklu życia (LCA) paneli słonecznych pokazuje, że w ciągu 25–30 lat pracy panel produkuje wielokrotnie więcej energii, niż zużyto na jego produkcję. Emisje CO₂ z fotowoltaiki są kilkanaście razy niższe niż z węgla.</w:t>
      </w:r>
    </w:p>
    <w:p>
      <w:r>
        <w:rPr>
          <w:rFonts w:ascii="Arial" w:hAnsi="Arial" w:eastAsia="Arial"/>
          <w:b w:val="0"/>
        </w:rPr>
        <w:t>„Ekologowie chcą zabrać Śląskowi węgiel." To uproszczenie ignorujące plany transformacji, osłony socjalne i programy przekwalifikowania. Każdy poważny plan odejścia od węgla — w tym polski — zawiera mechanizmy wsparcia dla pracowników i regionów. Pytanie nie brzmi „czy transformacja", lecz „jak sprawiedliwa transformacja".</w:t>
      </w:r>
    </w:p>
    <w:p>
      <w:r>
        <w:rPr>
          <w:rFonts w:ascii="Arial" w:hAnsi="Arial" w:eastAsia="Arial"/>
          <w:b w:val="0"/>
        </w:rPr>
        <w:t>„Klimat zmieniał się zawsze." Prawda — ale tempo obecnych zmian jest bezprecedensowe w historii geologicznej, a ich korelacja z emisjami CO₂ z działalności człowieka jest potwierdzona przez 97% klimatologów. To jak powiedzieć „pożary zdarzały się zawsze" w odpowiedzi na kogoś podpalającego budynek.</w:t>
      </w:r>
    </w:p>
    <w:p>
      <w:r>
        <w:rPr>
          <w:rFonts w:ascii="Arial" w:hAnsi="Arial" w:eastAsia="Arial"/>
          <w:b/>
        </w:rPr>
        <w:t>Kto rozpowszechnia dezinformację klimatyczną?</w:t>
      </w:r>
      <w:r>
        <w:rPr>
          <w:rFonts w:ascii="Arial" w:hAnsi="Arial" w:eastAsia="Arial"/>
          <w:b w:val="0"/>
        </w:rPr>
        <w:t xml:space="preserve"> Grupy interesów związane z przemysłem paliwowym (udokumentowane kampanie takich firm jak ExxonMobil, które przez dekady finansowały badania podważające naukę o klimacie, mimo że ich własne wewnętrzne raporty potwierdzały wpływ człowieka na klimat). Politycy, dla których „obrona węgla" to łatwy kapitał wyborczy. Anonimowe konta w mediach społecznościowych, które mogą być elementem zorganizowanych kampanii dezinformacyjnych.</w:t>
      </w:r>
    </w:p>
    <w:p>
      <w:pPr>
        <w:pStyle w:val="Heading1"/>
      </w:pPr>
      <w:r>
        <w:t>4. Slacktivism — poczucie działania bez działania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Slacktivism — poczucie działania bez działania”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Slacktivism (od „slack" — leniwy + „activism") to zjawisko, w którym ludzie angażują się w „aktywizm" online na minimalnym poziomie — lajkują post, udostępniają petycję (nie podpisując jej), zmieniają zdjęcie profilowe na „zieloną ramkę" — i czują, że zrobili coś ważnego. Problem: poczucie aktywizmu ZASTĘPUJE faktyczne działanie.</w:t>
      </w:r>
    </w:p>
    <w:p>
      <w:r>
        <w:rPr>
          <w:rFonts w:ascii="Arial" w:hAnsi="Arial" w:eastAsia="Arial"/>
          <w:b/>
        </w:rPr>
        <w:t>Dlaczego slacktivism jest problemem:</w:t>
      </w:r>
      <w:r>
        <w:rPr>
          <w:rFonts w:ascii="Arial" w:hAnsi="Arial" w:eastAsia="Arial"/>
          <w:b w:val="0"/>
        </w:rPr>
        <w:t xml:space="preserve"> daje ulgę emocjonalną bez efektu materialnego. Badania wskazują, że osoba, która „wsparła" sprawę symbolicznym gestem (lajk, share), jest MNIEJ skłonna do podjęcia realnego działania — bo jej potrzeba „zrobienia czegoś" została już zaspokojona.</w:t>
      </w:r>
    </w:p>
    <w:p>
      <w:r>
        <w:rPr>
          <w:rFonts w:ascii="Arial" w:hAnsi="Arial" w:eastAsia="Arial"/>
          <w:b/>
        </w:rPr>
        <w:t>Jak odróżnić slacktivism od aktywizmu:</w:t>
      </w:r>
      <w:r>
        <w:rPr>
          <w:rFonts w:ascii="Arial" w:hAnsi="Arial" w:eastAsia="Arial"/>
          <w:b w:val="0"/>
        </w:rPr>
        <w:t xml:space="preserve"> Aktywizm wymaga wysiłku. Podpisanie petycji (nie udostępnienie, lecz podpisanie). Napisanie maila do radnego. Udział w konsultacjach społecznych. Wolontariat. Zbiórka danych. Lajk to nie wysiłek — to gest.</w:t>
      </w:r>
    </w:p>
    <w:p>
      <w:r>
        <w:rPr>
          <w:rFonts w:ascii="Arial" w:hAnsi="Arial" w:eastAsia="Arial"/>
          <w:b/>
        </w:rPr>
        <w:t>To nie znaczy, że media społecznościowe są bezużyteczne.</w:t>
      </w:r>
      <w:r>
        <w:rPr>
          <w:rFonts w:ascii="Arial" w:hAnsi="Arial" w:eastAsia="Arial"/>
          <w:b w:val="0"/>
        </w:rPr>
        <w:t xml:space="preserve"> Są potężnym narzędziem MOBILIZACJI — ale mobilizacja to dopiero początek. Post na Instagramie może skłonić 50 osób do podpisania petycji — i WTEDY jest użyteczny. Sam w sobie, bez następnego kroku — jest slacktivismem.</w:t>
      </w:r>
    </w:p>
    <w:p>
      <w:pPr>
        <w:pStyle w:val="Heading1"/>
      </w:pPr>
      <w:r>
        <w:t>5. Polaryzacja ekologiczna — poza podziałem „eko-szaleniec" vs „dinozaur"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Polaryzacja ekologiczna — poza podziałem „eko-szaleniec" vs „dinozaur"”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Internet dzieli ludzi na obozy — i debata ekologiczna nie jest wyjątkiem. Z jednej strony „eko-szaleńcy", z drugiej „węglowe dinozaury". Ale rzeczywistość jest bardziej skomplikowana niż jakikolwiek mem.</w:t>
      </w:r>
    </w:p>
    <w:p>
      <w:r>
        <w:rPr>
          <w:rFonts w:ascii="Arial" w:hAnsi="Arial" w:eastAsia="Arial"/>
          <w:b w:val="0"/>
        </w:rPr>
        <w:t>Górnik z Jastrzębia, który ogrzewa dom pompą ciepła, nie jest „dinozaurem" — jest człowiekiem, który pracuje w jednym systemie i jednocześnie adaptuje się do nowego. Nastolatek ze strajku klimatycznego, który codziennie dojeżdża samochodem rodzica, nie jest hipokrytą — jest człowiekiem żyjącym w systemie, który nie daje mu alternatywy. Życie jest pełne sprzeczności i to jest normalne.</w:t>
      </w:r>
    </w:p>
    <w:p>
      <w:r>
        <w:rPr>
          <w:rFonts w:ascii="Arial" w:hAnsi="Arial" w:eastAsia="Arial"/>
          <w:b/>
        </w:rPr>
        <w:t>Na Śląsku ekologia to nie abstrakcja — to konkret.</w:t>
      </w:r>
      <w:r>
        <w:rPr>
          <w:rFonts w:ascii="Arial" w:hAnsi="Arial" w:eastAsia="Arial"/>
          <w:b w:val="0"/>
        </w:rPr>
        <w:t xml:space="preserve"> To kwestia pracy rodziców i dziadków. To kwestia tożsamości regionu. To kwestia strachu o przyszłość. Szanowanie tego kontekstu — i prowadzenie rozmowy ZE sobą, nie PRZECIW sobie — jest warunkiem jakiejkolwiek zmiany.</w:t>
      </w:r>
    </w:p>
    <w:p>
      <w:pPr>
        <w:pStyle w:val="Heading1"/>
      </w:pPr>
      <w:r>
        <w:t>6. Transformacja energetyczna na Śląsku — co się dzieje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Transformacja energetyczna na Śląsku — co się dzieje”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Rybnik</w:t>
      </w:r>
      <w:r>
        <w:rPr>
          <w:rFonts w:ascii="Arial" w:hAnsi="Arial" w:eastAsia="Arial"/>
          <w:b w:val="0"/>
        </w:rPr>
        <w:t xml:space="preserve"> przechodzi jedną z najbardziej widocznych transformacji w regionie: plan transformacji energetycznej do 2040 roku, koncepcja Rybnickiego Okręgu Wodorowego (nawiązanie do historycznego Rybnickiego Okręgu Węglowego), inwestycje w OZE, fotowoltaikę, termomodernizację budynków.</w:t>
      </w:r>
    </w:p>
    <w:p>
      <w:r>
        <w:rPr>
          <w:rFonts w:ascii="Arial" w:hAnsi="Arial" w:eastAsia="Arial"/>
          <w:b/>
        </w:rPr>
        <w:t>Jastrzębie-Zdrój</w:t>
      </w:r>
      <w:r>
        <w:rPr>
          <w:rFonts w:ascii="Arial" w:hAnsi="Arial" w:eastAsia="Arial"/>
          <w:b w:val="0"/>
        </w:rPr>
        <w:t xml:space="preserve"> mierzy się z przyszłością Jastrzębskiej Spółki Węglowej — największego europejskiego producenta węgla koksowego.</w:t>
      </w:r>
    </w:p>
    <w:p>
      <w:r>
        <w:rPr>
          <w:rFonts w:ascii="Arial" w:hAnsi="Arial" w:eastAsia="Arial"/>
          <w:b/>
        </w:rPr>
        <w:t>Racibórz</w:t>
      </w:r>
      <w:r>
        <w:rPr>
          <w:rFonts w:ascii="Arial" w:hAnsi="Arial" w:eastAsia="Arial"/>
          <w:b w:val="0"/>
        </w:rPr>
        <w:t xml:space="preserve"> ma aktywny Raciborski Alarm Smogowy, wzorowany na rybnickiej inicjatywie.</w:t>
      </w:r>
    </w:p>
    <w:p>
      <w:r>
        <w:rPr>
          <w:rFonts w:ascii="Arial" w:hAnsi="Arial" w:eastAsia="Arial"/>
          <w:b/>
        </w:rPr>
        <w:t>Cały region</w:t>
      </w:r>
      <w:r>
        <w:rPr>
          <w:rFonts w:ascii="Arial" w:hAnsi="Arial" w:eastAsia="Arial"/>
          <w:b w:val="0"/>
        </w:rPr>
        <w:t xml:space="preserve"> objęty jest uchwałą antysmogową, siecią czujników jakości powietrza (Syngeos, SmogLab, Kanarek) i programami dotacji na wymianę ogrzewania (Czyste Powietrze).</w:t>
      </w:r>
    </w:p>
    <w:p>
      <w:pPr>
        <w:pStyle w:val="Heading1"/>
      </w:pPr>
      <w:r>
        <w:t>7. Narzędzia eko-detektywa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Narzędzia eko-detektywa”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SmogLab.pl</w:t>
      </w:r>
      <w:r>
        <w:rPr>
          <w:rFonts w:ascii="Arial" w:hAnsi="Arial" w:eastAsia="Arial"/>
          <w:b w:val="0"/>
        </w:rPr>
        <w:t xml:space="preserve"> — dane o jakości powietrza z całej Polski, mapy, alerty.</w:t>
      </w:r>
    </w:p>
    <w:p>
      <w:r>
        <w:rPr>
          <w:rFonts w:ascii="Arial" w:hAnsi="Arial" w:eastAsia="Arial"/>
          <w:b/>
        </w:rPr>
        <w:t>Kanarek / Syngeos</w:t>
      </w:r>
      <w:r>
        <w:rPr>
          <w:rFonts w:ascii="Arial" w:hAnsi="Arial" w:eastAsia="Arial"/>
          <w:b w:val="0"/>
        </w:rPr>
        <w:t xml:space="preserve"> — lokalne czujniki jakości powietrza.</w:t>
      </w:r>
    </w:p>
    <w:p>
      <w:r>
        <w:rPr>
          <w:rFonts w:ascii="Arial" w:hAnsi="Arial" w:eastAsia="Arial"/>
          <w:b/>
        </w:rPr>
        <w:t>Google Scholar</w:t>
      </w:r>
      <w:r>
        <w:rPr>
          <w:rFonts w:ascii="Arial" w:hAnsi="Arial" w:eastAsia="Arial"/>
          <w:b w:val="0"/>
        </w:rPr>
        <w:t xml:space="preserve"> — sprawdzanie, czy „badanie" cytowane w poście naprawdę istnieje.</w:t>
      </w:r>
    </w:p>
    <w:p>
      <w:r>
        <w:rPr>
          <w:rFonts w:ascii="Arial" w:hAnsi="Arial" w:eastAsia="Arial"/>
          <w:b/>
        </w:rPr>
        <w:t>Demagog.org.pl</w:t>
      </w:r>
      <w:r>
        <w:rPr>
          <w:rFonts w:ascii="Arial" w:hAnsi="Arial" w:eastAsia="Arial"/>
          <w:b w:val="0"/>
        </w:rPr>
        <w:t xml:space="preserve"> — weryfikacja twierdzeń ekologicznych polityków.</w:t>
      </w:r>
    </w:p>
    <w:p>
      <w:r>
        <w:rPr>
          <w:rFonts w:ascii="Arial" w:hAnsi="Arial" w:eastAsia="Arial"/>
          <w:b/>
        </w:rPr>
        <w:t>EU Ecolabel / FSC / Fairtrade</w:t>
      </w:r>
      <w:r>
        <w:rPr>
          <w:rFonts w:ascii="Arial" w:hAnsi="Arial" w:eastAsia="Arial"/>
          <w:b w:val="0"/>
        </w:rPr>
        <w:t xml:space="preserve"> — certyfikaty, które NAPRAWDĘ coś znaczą (w odróżnieniu od firmowych „eko" logotypów).</w:t>
      </w:r>
    </w:p>
    <w:p>
      <w:r>
        <w:rPr>
          <w:rFonts w:ascii="Arial" w:hAnsi="Arial" w:eastAsia="Arial"/>
          <w:b/>
        </w:rPr>
        <w:t>Dyrektywa ECD 2024</w:t>
      </w:r>
      <w:r>
        <w:rPr>
          <w:rFonts w:ascii="Arial" w:hAnsi="Arial" w:eastAsia="Arial"/>
          <w:b w:val="0"/>
        </w:rPr>
        <w:t xml:space="preserve"> — prawo UE zakazujące pustych deklaracji ekologicznych.</w:t>
      </w:r>
    </w:p>
    <w:p>
      <w:pPr>
        <w:pStyle w:val="Heading1"/>
      </w:pPr>
      <w:r>
        <w:t>8. Co możesz zrobić — praktyczny przewodnik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„8. Co możesz zrobić — praktyczny przewodnik”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Jako konsument:</w:t>
      </w:r>
      <w:r>
        <w:rPr>
          <w:rFonts w:ascii="Arial" w:hAnsi="Arial" w:eastAsia="Arial"/>
          <w:b w:val="0"/>
        </w:rPr>
        <w:t xml:space="preserve"> Sprawdzaj deklaracje ekologiczne — 5 sygnałów greenwashingu. Szukaj certyfikatów (FSC, EU Ecolabel, Fairtrade), nie „zielonych" logotypów. Pamiętaj, że najekologiczniejszy produkt to ten, którego nie kupujesz (redukcja konsumpcji &gt; „eko" konsumpcja).</w:t>
      </w:r>
    </w:p>
    <w:p>
      <w:r>
        <w:rPr>
          <w:rFonts w:ascii="Arial" w:hAnsi="Arial" w:eastAsia="Arial"/>
          <w:b/>
        </w:rPr>
        <w:t>Jako obywatel:</w:t>
      </w:r>
      <w:r>
        <w:rPr>
          <w:rFonts w:ascii="Arial" w:hAnsi="Arial" w:eastAsia="Arial"/>
          <w:b w:val="0"/>
        </w:rPr>
        <w:t xml:space="preserve"> Sprawdź jakość powietrza w swojej okolicy (SmogLab.pl). Zgłoś kopciucha (aplikacja miejska lub straż miejska). Weź udział w konsultacjach społecznych dotyczących planu zagospodarowania, transportu, energetyki. Podpisz (nie tylko udostępnij) petycję.</w:t>
      </w:r>
    </w:p>
    <w:p>
      <w:r>
        <w:rPr>
          <w:rFonts w:ascii="Arial" w:hAnsi="Arial" w:eastAsia="Arial"/>
          <w:b/>
        </w:rPr>
        <w:t>Jako twórca treści:</w:t>
      </w:r>
      <w:r>
        <w:rPr>
          <w:rFonts w:ascii="Arial" w:hAnsi="Arial" w:eastAsia="Arial"/>
          <w:b w:val="0"/>
        </w:rPr>
        <w:t xml:space="preserve"> Jeśli piszesz o ekologii — podawaj źródła. Nie bądź kolejnym slacktivistą wrzucającym „zielone" posty bez substancji. Pokaż dane. Pokaż efekt. Pokaż, co KONKRETNIE odbiorca może zrobić.</w:t>
      </w:r>
    </w:p>
    <w:p>
      <w:pPr>
        <w:pStyle w:val="Heading1"/>
      </w:pPr>
      <w:r>
        <w:t>Przydatne zasoby</w:t>
      </w:r>
    </w:p>
    <w:p>
      <w:pPr>
        <w:pStyle w:val="ListBullet"/>
      </w:pPr>
      <w:r>
        <w:rPr>
          <w:rFonts w:ascii="Arial" w:hAnsi="Arial" w:eastAsia="Arial"/>
          <w:b/>
        </w:rPr>
        <w:t>SmogLab.pl</w:t>
      </w:r>
      <w:r>
        <w:rPr>
          <w:rFonts w:ascii="Arial" w:hAnsi="Arial" w:eastAsia="Arial"/>
          <w:b w:val="0"/>
        </w:rPr>
        <w:t xml:space="preserve"> — dane o jakości powietrza</w:t>
      </w:r>
    </w:p>
    <w:p>
      <w:pPr>
        <w:pStyle w:val="ListBullet"/>
      </w:pPr>
      <w:r>
        <w:rPr>
          <w:rFonts w:ascii="Arial" w:hAnsi="Arial" w:eastAsia="Arial"/>
          <w:b/>
        </w:rPr>
        <w:t>Demagog.org.pl</w:t>
      </w:r>
      <w:r>
        <w:rPr>
          <w:rFonts w:ascii="Arial" w:hAnsi="Arial" w:eastAsia="Arial"/>
          <w:b w:val="0"/>
        </w:rPr>
        <w:t xml:space="preserve"> — weryfikacja twierdzeń</w:t>
      </w:r>
    </w:p>
    <w:p>
      <w:pPr>
        <w:pStyle w:val="ListBullet"/>
      </w:pPr>
      <w:r>
        <w:rPr>
          <w:rFonts w:ascii="Arial" w:hAnsi="Arial" w:eastAsia="Arial"/>
          <w:b/>
        </w:rPr>
        <w:t>scholar.google.com</w:t>
      </w:r>
      <w:r>
        <w:rPr>
          <w:rFonts w:ascii="Arial" w:hAnsi="Arial" w:eastAsia="Arial"/>
          <w:b w:val="0"/>
        </w:rPr>
        <w:t xml:space="preserve"> — publikacje naukowe</w:t>
      </w:r>
    </w:p>
    <w:p>
      <w:pPr>
        <w:pStyle w:val="ListBullet"/>
      </w:pPr>
      <w:r>
        <w:rPr>
          <w:rFonts w:ascii="Arial" w:hAnsi="Arial" w:eastAsia="Arial"/>
          <w:b/>
        </w:rPr>
        <w:t>ec.europa.eu/environment/ecolabel</w:t>
      </w:r>
      <w:r>
        <w:rPr>
          <w:rFonts w:ascii="Arial" w:hAnsi="Arial" w:eastAsia="Arial"/>
          <w:b w:val="0"/>
        </w:rPr>
        <w:t xml:space="preserve"> — EU Ecolabel</w:t>
      </w:r>
    </w:p>
    <w:p>
      <w:pPr>
        <w:pStyle w:val="ListBullet"/>
      </w:pPr>
      <w:r>
        <w:rPr>
          <w:rFonts w:ascii="Arial" w:hAnsi="Arial" w:eastAsia="Arial"/>
          <w:b/>
        </w:rPr>
        <w:t>klimat.rp.pl</w:t>
      </w:r>
      <w:r>
        <w:rPr>
          <w:rFonts w:ascii="Arial" w:hAnsi="Arial" w:eastAsia="Arial"/>
          <w:b w:val="0"/>
        </w:rPr>
        <w:t xml:space="preserve"> — serwis klimatyczny Rzeczpospolitej</w:t>
      </w:r>
    </w:p>
    <w:p>
      <w:pPr>
        <w:pStyle w:val="ListBullet"/>
      </w:pPr>
      <w:r>
        <w:rPr>
          <w:rFonts w:ascii="Arial" w:hAnsi="Arial" w:eastAsia="Arial"/>
          <w:b/>
        </w:rPr>
        <w:t>naukaoklimacie.pl</w:t>
      </w:r>
      <w:r>
        <w:rPr>
          <w:rFonts w:ascii="Arial" w:hAnsi="Arial" w:eastAsia="Arial"/>
          <w:b w:val="0"/>
        </w:rPr>
        <w:t xml:space="preserve"> — polski portal naukowy o klimacie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Jakie dane potwierdzają ekologiczne twierdzenie?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 działanie online prowadzi do następnego kroku poza kliknięciem?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Kto może być sojusznikiem w lokalnej sprawie środowiskowej?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Znajdź przykład reklamy lub posta z deklaracją eko.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Wypisz obietnicę: co dokładnie twierdzi nadawca?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Sprawdź dowody: dane, certyfikat, metodologia, niezależne źródło.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Oceń, czy to rzetelny komunikat, półprawda czy greenwashing.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Zaproponuj jedno działanie, które odbiorca może wykonać lokalnie.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Przygotuj mini-audyt greenwashingu: trzy przykłady, dowody, ocena i krótka edukacyjna odpowiedź dla rówieśników.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„Eko-aktywizm w internecie”.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nie ufaj ogólnym hasłom bez danych i certyfikatów</w:t>
      </w:r>
    </w:p>
    <w:p>
      <w:pPr>
        <w:pStyle w:val="ListBullet"/>
      </w:pPr>
      <w:r>
        <w:rPr>
          <w:rFonts w:ascii="Arial" w:hAnsi="Arial" w:eastAsia="Arial"/>
          <w:b w:val="0"/>
        </w:rPr>
        <w:t>sprawdzaj, czy firma pokazuje całość wpływu, nie tylko jeden produkt</w:t>
      </w:r>
    </w:p>
    <w:p>
      <w:pPr>
        <w:pStyle w:val="ListBullet"/>
      </w:pPr>
      <w:r>
        <w:rPr>
          <w:rFonts w:ascii="Arial" w:hAnsi="Arial" w:eastAsia="Arial"/>
          <w:b w:val="0"/>
        </w:rPr>
        <w:t>łącz post z konkretnym CTA</w:t>
      </w:r>
    </w:p>
    <w:p>
      <w:pPr>
        <w:pStyle w:val="ListBullet"/>
      </w:pPr>
      <w:r>
        <w:rPr>
          <w:rFonts w:ascii="Arial" w:hAnsi="Arial" w:eastAsia="Arial"/>
          <w:b w:val="0"/>
        </w:rPr>
        <w:t>mierz efekt: podpisy, zgłoszenia, udział, zmiana zachowania</w:t>
      </w:r>
    </w:p>
    <w:p>
      <w:pPr>
        <w:pStyle w:val="ListBullet"/>
      </w:pPr>
      <w:r>
        <w:rPr>
          <w:rFonts w:ascii="Arial" w:hAnsi="Arial" w:eastAsia="Arial"/>
          <w:b w:val="0"/>
        </w:rPr>
        <w:t>dbaj o rzetelność, bo błędne dane osłabiają sprawę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Jakie dane potwierdzają ekologiczne twierdzenie?</w:t>
      </w:r>
    </w:p>
    <w:p>
      <w:pPr>
        <w:pStyle w:val="ListNumber"/>
      </w:pPr>
      <w:r>
        <w:rPr>
          <w:rFonts w:ascii="Arial" w:hAnsi="Arial" w:eastAsia="Arial"/>
          <w:b w:val="0"/>
        </w:rPr>
        <w:t>Czy działanie online prowadzi do następnego kroku poza kliknięciem?</w:t>
      </w:r>
    </w:p>
    <w:p>
      <w:pPr>
        <w:pStyle w:val="ListNumber"/>
      </w:pPr>
      <w:r>
        <w:rPr>
          <w:rFonts w:ascii="Arial" w:hAnsi="Arial" w:eastAsia="Arial"/>
          <w:b w:val="0"/>
        </w:rPr>
        <w:t>Kto może być sojusznikiem w lokalnej sprawie środowiskowej?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Eko-aktywizm w internecie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Eko-aktywizm w internecie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06: Eko-aktywizm w internecie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